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61" w:rsidRDefault="00A06C74">
      <w:pPr>
        <w:ind w:firstLineChars="950" w:firstLine="2660"/>
        <w:rPr>
          <w:sz w:val="28"/>
          <w:szCs w:val="28"/>
          <w:lang w:val="en-MY"/>
        </w:rPr>
      </w:pPr>
      <w:r>
        <w:rPr>
          <w:sz w:val="28"/>
          <w:szCs w:val="28"/>
          <w:lang w:val="en-MY"/>
        </w:rPr>
        <w:t>WORLD GROWTH MANAGEMENT FUND LTD</w:t>
      </w:r>
    </w:p>
    <w:tbl>
      <w:tblPr>
        <w:tblStyle w:val="TableGrid"/>
        <w:tblpPr w:leftFromText="180" w:rightFromText="180" w:vertAnchor="text" w:horzAnchor="page" w:tblpX="1167" w:tblpY="202"/>
        <w:tblOverlap w:val="never"/>
        <w:tblW w:w="3800" w:type="dxa"/>
        <w:tblLayout w:type="fixed"/>
        <w:tblLook w:val="04A0"/>
      </w:tblPr>
      <w:tblGrid>
        <w:gridCol w:w="1900"/>
        <w:gridCol w:w="1900"/>
      </w:tblGrid>
      <w:tr w:rsidR="00223861">
        <w:trPr>
          <w:trHeight w:val="406"/>
        </w:trPr>
        <w:tc>
          <w:tcPr>
            <w:tcW w:w="1900" w:type="dxa"/>
            <w:tcBorders>
              <w:top w:val="single" w:sz="12" w:space="0" w:color="FFFFFF"/>
              <w:left w:val="dotted" w:sz="8" w:space="0" w:color="auto"/>
              <w:bottom w:val="dotted" w:sz="8" w:space="0" w:color="auto"/>
              <w:right w:val="dotted" w:sz="8" w:space="0" w:color="auto"/>
            </w:tcBorders>
            <w:shd w:val="clear" w:color="auto" w:fill="AAAAAA"/>
          </w:tcPr>
          <w:p w:rsidR="00223861" w:rsidRDefault="00A06C74">
            <w:pPr>
              <w:rPr>
                <w:color w:val="FFFFFF"/>
                <w:sz w:val="28"/>
                <w:szCs w:val="28"/>
              </w:rPr>
            </w:pPr>
            <w:r>
              <w:rPr>
                <w:rFonts w:hint="eastAsia"/>
                <w:color w:val="FFFFFF" w:themeColor="background1"/>
                <w:sz w:val="28"/>
                <w:szCs w:val="28"/>
              </w:rPr>
              <w:t>项目分析指数</w:t>
            </w:r>
          </w:p>
        </w:tc>
        <w:tc>
          <w:tcPr>
            <w:tcW w:w="1900" w:type="dxa"/>
            <w:tcBorders>
              <w:top w:val="single" w:sz="12" w:space="0" w:color="FFFFFF"/>
              <w:left w:val="dotted" w:sz="8" w:space="0" w:color="auto"/>
              <w:bottom w:val="dotted" w:sz="8" w:space="0" w:color="auto"/>
              <w:right w:val="dotted" w:sz="8" w:space="0" w:color="auto"/>
            </w:tcBorders>
            <w:shd w:val="clear" w:color="auto" w:fill="AAAAAA"/>
          </w:tcPr>
          <w:p w:rsidR="00223861" w:rsidRDefault="00A06C74">
            <w:pPr>
              <w:rPr>
                <w:color w:val="FFFFFF"/>
                <w:sz w:val="28"/>
                <w:szCs w:val="28"/>
              </w:rPr>
            </w:pPr>
            <w:r>
              <w:rPr>
                <w:rFonts w:hint="eastAsia"/>
                <w:color w:val="FFFFFF"/>
                <w:sz w:val="28"/>
                <w:szCs w:val="28"/>
              </w:rPr>
              <w:t>**</w:t>
            </w:r>
          </w:p>
        </w:tc>
      </w:tr>
    </w:tbl>
    <w:p w:rsidR="00223861" w:rsidRDefault="00A06C74">
      <w:pPr>
        <w:rPr>
          <w:sz w:val="28"/>
          <w:szCs w:val="28"/>
          <w:lang w:val="en-MY"/>
        </w:rPr>
      </w:pPr>
      <w:r>
        <w:rPr>
          <w:lang w:val="en-MY"/>
        </w:rPr>
        <w:t xml:space="preserve">Company </w:t>
      </w:r>
      <w:proofErr w:type="gramStart"/>
      <w:r>
        <w:rPr>
          <w:lang w:val="en-MY"/>
        </w:rPr>
        <w:t>No(</w:t>
      </w:r>
      <w:proofErr w:type="gramEnd"/>
      <w:r>
        <w:rPr>
          <w:lang w:val="en-MY"/>
        </w:rPr>
        <w:t>LL14049)</w:t>
      </w:r>
    </w:p>
    <w:p w:rsidR="00223861" w:rsidRDefault="00223861">
      <w:pPr>
        <w:rPr>
          <w:b/>
          <w:bCs/>
          <w:highlight w:val="cyan"/>
        </w:rPr>
      </w:pPr>
    </w:p>
    <w:tbl>
      <w:tblPr>
        <w:tblStyle w:val="TableGrid"/>
        <w:tblpPr w:leftFromText="180" w:rightFromText="180" w:vertAnchor="text" w:horzAnchor="page" w:tblpX="1252" w:tblpY="208"/>
        <w:tblOverlap w:val="never"/>
        <w:tblW w:w="9480" w:type="dxa"/>
        <w:tblLayout w:type="fixed"/>
        <w:tblLook w:val="04A0"/>
      </w:tblPr>
      <w:tblGrid>
        <w:gridCol w:w="2370"/>
        <w:gridCol w:w="2370"/>
        <w:gridCol w:w="2370"/>
        <w:gridCol w:w="2370"/>
      </w:tblGrid>
      <w:tr w:rsidR="00223861">
        <w:trPr>
          <w:trHeight w:val="708"/>
        </w:trPr>
        <w:tc>
          <w:tcPr>
            <w:tcW w:w="2370" w:type="dxa"/>
            <w:tcBorders>
              <w:top w:val="single" w:sz="12" w:space="0" w:color="FFFFFF"/>
              <w:left w:val="dotted" w:sz="4" w:space="0" w:color="auto"/>
              <w:bottom w:val="dotted" w:sz="4" w:space="0" w:color="auto"/>
              <w:right w:val="dotted" w:sz="4" w:space="0" w:color="auto"/>
            </w:tcBorders>
            <w:shd w:val="clear" w:color="auto" w:fill="AAAAAA"/>
          </w:tcPr>
          <w:p w:rsidR="0017182A" w:rsidRDefault="00A06C74">
            <w:pPr>
              <w:rPr>
                <w:b/>
                <w:bCs/>
                <w:color w:val="FFFFFF"/>
                <w:sz w:val="24"/>
                <w:szCs w:val="24"/>
              </w:rPr>
            </w:pPr>
            <w:r>
              <w:rPr>
                <w:rFonts w:hint="eastAsia"/>
                <w:b/>
                <w:bCs/>
                <w:color w:val="FFFFFF"/>
                <w:sz w:val="24"/>
                <w:szCs w:val="24"/>
              </w:rPr>
              <w:t>项目公司：</w:t>
            </w:r>
          </w:p>
          <w:p w:rsidR="00223861" w:rsidRDefault="0017182A">
            <w:pPr>
              <w:rPr>
                <w:b/>
                <w:bCs/>
                <w:color w:val="FFFFFF"/>
                <w:sz w:val="24"/>
                <w:szCs w:val="24"/>
                <w:highlight w:val="cyan"/>
              </w:rPr>
            </w:pPr>
            <w:r>
              <w:rPr>
                <w:rFonts w:ascii="Helvetica" w:eastAsia="Helvetica" w:hAnsi="Helvetica" w:cs="Helvetica"/>
                <w:b/>
                <w:bCs/>
                <w:color w:val="333333"/>
                <w:sz w:val="24"/>
                <w:szCs w:val="24"/>
                <w:shd w:val="clear" w:color="auto" w:fill="FFFFFF"/>
              </w:rPr>
              <w:t>西王特</w:t>
            </w:r>
            <w:r>
              <w:rPr>
                <w:rFonts w:ascii="MingLiU" w:eastAsia="MingLiU" w:hAnsi="MingLiU" w:cs="MingLiU" w:hint="eastAsia"/>
                <w:b/>
                <w:bCs/>
                <w:color w:val="333333"/>
                <w:sz w:val="24"/>
                <w:szCs w:val="24"/>
                <w:shd w:val="clear" w:color="auto" w:fill="FFFFFF"/>
              </w:rPr>
              <w:t>钢</w:t>
            </w:r>
            <w:r>
              <w:rPr>
                <w:rFonts w:ascii="MS Mincho" w:eastAsia="MS Mincho" w:hAnsi="MS Mincho" w:cs="MS Mincho" w:hint="eastAsia"/>
                <w:b/>
                <w:bCs/>
                <w:color w:val="333333"/>
                <w:sz w:val="24"/>
                <w:szCs w:val="24"/>
                <w:shd w:val="clear" w:color="auto" w:fill="FFFFFF"/>
              </w:rPr>
              <w:t>有限公司</w:t>
            </w:r>
          </w:p>
        </w:tc>
        <w:tc>
          <w:tcPr>
            <w:tcW w:w="2370" w:type="dxa"/>
            <w:tcBorders>
              <w:top w:val="single" w:sz="12" w:space="0" w:color="FFFFFF"/>
              <w:left w:val="dotted" w:sz="4" w:space="0" w:color="auto"/>
              <w:bottom w:val="dotted" w:sz="4" w:space="0" w:color="auto"/>
              <w:right w:val="dotted" w:sz="4" w:space="0" w:color="auto"/>
            </w:tcBorders>
            <w:shd w:val="clear" w:color="auto" w:fill="AAAAAA"/>
          </w:tcPr>
          <w:p w:rsidR="00223861" w:rsidRDefault="00A06C74">
            <w:pPr>
              <w:rPr>
                <w:b/>
                <w:bCs/>
                <w:color w:val="FFFFFF"/>
                <w:sz w:val="24"/>
                <w:szCs w:val="24"/>
              </w:rPr>
            </w:pPr>
            <w:r>
              <w:rPr>
                <w:rFonts w:hint="eastAsia"/>
                <w:b/>
                <w:bCs/>
                <w:color w:val="FFFFFF"/>
                <w:sz w:val="24"/>
                <w:szCs w:val="24"/>
              </w:rPr>
              <w:t>项目编号：</w:t>
            </w:r>
            <w:r>
              <w:rPr>
                <w:rFonts w:hint="eastAsia"/>
                <w:b/>
                <w:bCs/>
                <w:color w:val="FFFFFF"/>
                <w:sz w:val="24"/>
                <w:szCs w:val="24"/>
              </w:rPr>
              <w:t>00004</w:t>
            </w:r>
          </w:p>
        </w:tc>
        <w:tc>
          <w:tcPr>
            <w:tcW w:w="2370" w:type="dxa"/>
            <w:tcBorders>
              <w:top w:val="single" w:sz="12" w:space="0" w:color="FFFFFF"/>
              <w:left w:val="dotted" w:sz="4" w:space="0" w:color="auto"/>
              <w:bottom w:val="dotted" w:sz="4" w:space="0" w:color="auto"/>
              <w:right w:val="dotted" w:sz="4" w:space="0" w:color="auto"/>
            </w:tcBorders>
            <w:shd w:val="clear" w:color="auto" w:fill="AAAAAA"/>
          </w:tcPr>
          <w:p w:rsidR="00223861" w:rsidRDefault="00A06C74">
            <w:pPr>
              <w:rPr>
                <w:b/>
                <w:bCs/>
                <w:color w:val="FFFFFF"/>
                <w:sz w:val="24"/>
                <w:szCs w:val="24"/>
              </w:rPr>
            </w:pPr>
            <w:r>
              <w:rPr>
                <w:rFonts w:hint="eastAsia"/>
                <w:b/>
                <w:bCs/>
                <w:color w:val="FFFFFF"/>
                <w:sz w:val="24"/>
                <w:szCs w:val="24"/>
              </w:rPr>
              <w:t>日期：</w:t>
            </w:r>
            <w:r>
              <w:rPr>
                <w:b/>
                <w:bCs/>
                <w:color w:val="FFFFFF"/>
                <w:sz w:val="24"/>
                <w:szCs w:val="24"/>
                <w:lang w:val="en-MY"/>
              </w:rPr>
              <w:t>22</w:t>
            </w:r>
            <w:r>
              <w:rPr>
                <w:rFonts w:hint="eastAsia"/>
                <w:b/>
                <w:bCs/>
                <w:color w:val="FFFFFF"/>
                <w:sz w:val="24"/>
                <w:szCs w:val="24"/>
              </w:rPr>
              <w:t>/0</w:t>
            </w:r>
            <w:r>
              <w:rPr>
                <w:b/>
                <w:bCs/>
                <w:color w:val="FFFFFF"/>
                <w:sz w:val="24"/>
                <w:szCs w:val="24"/>
                <w:lang w:val="en-MY"/>
              </w:rPr>
              <w:t>3</w:t>
            </w:r>
            <w:r>
              <w:rPr>
                <w:rFonts w:hint="eastAsia"/>
                <w:b/>
                <w:bCs/>
                <w:color w:val="FFFFFF"/>
                <w:sz w:val="24"/>
                <w:szCs w:val="24"/>
              </w:rPr>
              <w:t>/2018</w:t>
            </w:r>
          </w:p>
        </w:tc>
        <w:tc>
          <w:tcPr>
            <w:tcW w:w="2370" w:type="dxa"/>
            <w:tcBorders>
              <w:top w:val="single" w:sz="12" w:space="0" w:color="FFFFFF"/>
              <w:left w:val="dotted" w:sz="4" w:space="0" w:color="auto"/>
              <w:bottom w:val="dotted" w:sz="4" w:space="0" w:color="auto"/>
              <w:right w:val="dotted" w:sz="4" w:space="0" w:color="auto"/>
            </w:tcBorders>
            <w:shd w:val="clear" w:color="auto" w:fill="AAAAAA"/>
          </w:tcPr>
          <w:p w:rsidR="00223861" w:rsidRDefault="00A06C74">
            <w:pPr>
              <w:rPr>
                <w:b/>
                <w:bCs/>
                <w:color w:val="FFFFFF"/>
                <w:sz w:val="24"/>
                <w:szCs w:val="24"/>
              </w:rPr>
            </w:pPr>
            <w:r>
              <w:rPr>
                <w:rFonts w:hint="eastAsia"/>
                <w:b/>
                <w:bCs/>
                <w:color w:val="FFFFFF"/>
                <w:sz w:val="24"/>
                <w:szCs w:val="24"/>
              </w:rPr>
              <w:t>发布时间：</w:t>
            </w:r>
            <w:r>
              <w:rPr>
                <w:rFonts w:hint="eastAsia"/>
                <w:b/>
                <w:bCs/>
                <w:color w:val="FFFFFF"/>
                <w:sz w:val="24"/>
                <w:szCs w:val="24"/>
              </w:rPr>
              <w:t>8</w:t>
            </w:r>
            <w:r>
              <w:rPr>
                <w:rFonts w:ascii="Times New Roman" w:hAnsi="Times New Roman" w:cs="Times New Roman" w:hint="eastAsia"/>
                <w:b/>
                <w:bCs/>
                <w:color w:val="FFFFFF"/>
                <w:sz w:val="24"/>
                <w:szCs w:val="24"/>
              </w:rPr>
              <w:t>:57</w:t>
            </w:r>
            <w:r>
              <w:rPr>
                <w:rFonts w:hint="eastAsia"/>
                <w:b/>
                <w:bCs/>
                <w:color w:val="FFFFFF"/>
                <w:sz w:val="24"/>
                <w:szCs w:val="24"/>
              </w:rPr>
              <w:t>pm</w:t>
            </w:r>
          </w:p>
        </w:tc>
      </w:tr>
    </w:tbl>
    <w:p w:rsidR="00223861" w:rsidRDefault="00223861">
      <w:pPr>
        <w:rPr>
          <w:b/>
          <w:bCs/>
          <w:highlight w:val="cyan"/>
          <w:lang w:val="en-MY"/>
        </w:rPr>
      </w:pPr>
    </w:p>
    <w:p w:rsidR="00223861" w:rsidRDefault="00223861">
      <w:pPr>
        <w:rPr>
          <w:b/>
          <w:bCs/>
          <w:highlight w:val="cyan"/>
          <w:lang w:val="en-MY"/>
        </w:rPr>
      </w:pPr>
    </w:p>
    <w:p w:rsidR="00223861" w:rsidRDefault="00223861">
      <w:pPr>
        <w:rPr>
          <w:b/>
          <w:bCs/>
          <w:highlight w:val="cyan"/>
          <w:lang w:val="en-MY"/>
        </w:rPr>
      </w:pPr>
    </w:p>
    <w:p w:rsidR="00223861" w:rsidRDefault="00223861"/>
    <w:tbl>
      <w:tblPr>
        <w:tblStyle w:val="TableGrid"/>
        <w:tblpPr w:leftFromText="180" w:rightFromText="180" w:vertAnchor="text" w:horzAnchor="page" w:tblpX="1197" w:tblpY="174"/>
        <w:tblOverlap w:val="never"/>
        <w:tblW w:w="9620" w:type="dxa"/>
        <w:tblLayout w:type="fixed"/>
        <w:tblLook w:val="04A0"/>
      </w:tblPr>
      <w:tblGrid>
        <w:gridCol w:w="2411"/>
        <w:gridCol w:w="2411"/>
        <w:gridCol w:w="2399"/>
        <w:gridCol w:w="2399"/>
      </w:tblGrid>
      <w:tr w:rsidR="00223861">
        <w:trPr>
          <w:trHeight w:val="327"/>
        </w:trPr>
        <w:tc>
          <w:tcPr>
            <w:tcW w:w="2411"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rPr>
                <w:rFonts w:ascii="Times New Roman" w:hAnsi="Times New Roman" w:cs="Times New Roman"/>
                <w:color w:val="000000"/>
                <w:sz w:val="24"/>
                <w:szCs w:val="24"/>
                <w:lang w:val="en-MY"/>
              </w:rPr>
            </w:pPr>
            <w:r>
              <w:rPr>
                <w:rFonts w:ascii="Helvetica" w:eastAsia="Helvetica" w:hAnsi="Helvetica" w:cs="Helvetica"/>
                <w:b/>
                <w:bCs/>
                <w:color w:val="333333"/>
                <w:sz w:val="24"/>
                <w:szCs w:val="24"/>
                <w:shd w:val="clear" w:color="auto" w:fill="FFFFFF"/>
              </w:rPr>
              <w:t>西王特钢有限公司</w:t>
            </w:r>
          </w:p>
        </w:tc>
        <w:tc>
          <w:tcPr>
            <w:tcW w:w="2411"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ind w:firstLineChars="200" w:firstLine="480"/>
              <w:rPr>
                <w:rFonts w:ascii="Times New Roman" w:hAnsi="Times New Roman" w:cs="Times New Roman"/>
                <w:color w:val="000000"/>
                <w:sz w:val="24"/>
                <w:szCs w:val="24"/>
                <w:lang w:val="en-MY"/>
              </w:rPr>
            </w:pPr>
            <w:r>
              <w:rPr>
                <w:rFonts w:ascii="Times New Roman" w:hAnsi="Times New Roman" w:cs="Times New Roman"/>
                <w:color w:val="000000"/>
                <w:sz w:val="24"/>
                <w:szCs w:val="24"/>
                <w:lang w:val="en-MY"/>
              </w:rPr>
              <w:t>（</w:t>
            </w:r>
            <w:r>
              <w:rPr>
                <w:rFonts w:ascii="Times New Roman" w:hAnsi="Times New Roman" w:cs="Times New Roman" w:hint="eastAsia"/>
                <w:color w:val="000000"/>
                <w:sz w:val="24"/>
                <w:szCs w:val="24"/>
              </w:rPr>
              <w:t>01266</w:t>
            </w:r>
            <w:r>
              <w:rPr>
                <w:rFonts w:ascii="Times New Roman" w:hAnsi="Times New Roman" w:cs="Times New Roman"/>
                <w:color w:val="000000"/>
                <w:sz w:val="24"/>
                <w:szCs w:val="24"/>
                <w:lang w:val="en-MY"/>
              </w:rPr>
              <w:t>)</w:t>
            </w:r>
          </w:p>
        </w:tc>
        <w:tc>
          <w:tcPr>
            <w:tcW w:w="2399"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rPr>
                <w:rFonts w:ascii="Times New Roman" w:hAnsi="Times New Roman" w:cs="Times New Roman"/>
                <w:b/>
                <w:bCs/>
                <w:color w:val="000000"/>
                <w:sz w:val="24"/>
                <w:szCs w:val="24"/>
              </w:rPr>
            </w:pPr>
            <w:r>
              <w:rPr>
                <w:rFonts w:ascii="Times New Roman" w:hAnsi="Times New Roman" w:cs="Times New Roman"/>
                <w:b/>
                <w:bCs/>
                <w:color w:val="000000"/>
                <w:sz w:val="24"/>
                <w:szCs w:val="24"/>
              </w:rPr>
              <w:t>交易股数量：</w:t>
            </w:r>
          </w:p>
          <w:p w:rsidR="0017182A" w:rsidRDefault="00F1459F">
            <w:pPr>
              <w:rPr>
                <w:rFonts w:ascii="Times New Roman" w:hAnsi="Times New Roman" w:cs="Times New Roman"/>
                <w:color w:val="000000"/>
                <w:sz w:val="24"/>
                <w:szCs w:val="24"/>
              </w:rPr>
            </w:pPr>
            <w:r w:rsidRPr="00FB1844">
              <w:rPr>
                <w:rFonts w:ascii="Times New Roman" w:hAnsi="Times New Roman" w:cs="Times New Roman"/>
                <w:b/>
                <w:color w:val="000000"/>
                <w:sz w:val="24"/>
                <w:szCs w:val="24"/>
              </w:rPr>
              <w:t>(Stock Trading)</w:t>
            </w:r>
          </w:p>
        </w:tc>
        <w:tc>
          <w:tcPr>
            <w:tcW w:w="2399"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rsidP="00F1459F">
            <w:pPr>
              <w:rPr>
                <w:rFonts w:ascii="Times New Roman" w:hAnsi="Times New Roman" w:cs="Times New Roman"/>
                <w:color w:val="000000"/>
                <w:sz w:val="24"/>
                <w:szCs w:val="24"/>
              </w:rPr>
            </w:pPr>
            <w:r>
              <w:rPr>
                <w:rFonts w:ascii="Times New Roman" w:hAnsi="Times New Roman" w:cs="Times New Roman" w:hint="eastAsia"/>
                <w:color w:val="000000"/>
                <w:sz w:val="24"/>
                <w:szCs w:val="24"/>
              </w:rPr>
              <w:t>1</w:t>
            </w:r>
            <w:r>
              <w:rPr>
                <w:rFonts w:ascii="Times New Roman" w:hAnsi="Times New Roman" w:cs="Times New Roman"/>
                <w:color w:val="000000"/>
                <w:sz w:val="24"/>
                <w:szCs w:val="24"/>
                <w:lang w:val="en-MY"/>
              </w:rPr>
              <w:t>00</w:t>
            </w:r>
            <w:r>
              <w:rPr>
                <w:rFonts w:ascii="Times New Roman" w:hAnsi="Times New Roman" w:cs="Times New Roman"/>
                <w:color w:val="000000"/>
                <w:sz w:val="24"/>
                <w:szCs w:val="24"/>
              </w:rPr>
              <w:t>,000.00股</w:t>
            </w:r>
            <w:r w:rsidR="00F1459F">
              <w:rPr>
                <w:rFonts w:ascii="Times New Roman" w:hAnsi="Times New Roman" w:cs="Times New Roman"/>
                <w:color w:val="000000"/>
                <w:sz w:val="24"/>
                <w:szCs w:val="24"/>
              </w:rPr>
              <w:t xml:space="preserve"> share</w:t>
            </w:r>
          </w:p>
        </w:tc>
      </w:tr>
      <w:tr w:rsidR="00223861">
        <w:trPr>
          <w:trHeight w:val="366"/>
        </w:trPr>
        <w:tc>
          <w:tcPr>
            <w:tcW w:w="2411"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资金规模</w:t>
            </w:r>
          </w:p>
          <w:p w:rsidR="0017182A" w:rsidRDefault="00F1459F">
            <w:pPr>
              <w:rPr>
                <w:rFonts w:ascii="Times New Roman" w:hAnsi="Times New Roman" w:cs="Times New Roman"/>
                <w:color w:val="000000"/>
                <w:sz w:val="24"/>
                <w:szCs w:val="24"/>
              </w:rPr>
            </w:pPr>
            <w:r w:rsidRPr="00FB1844">
              <w:rPr>
                <w:rFonts w:ascii="Times New Roman" w:hAnsi="Times New Roman" w:cs="Times New Roman"/>
                <w:b/>
                <w:color w:val="000000"/>
                <w:sz w:val="24"/>
                <w:szCs w:val="24"/>
              </w:rPr>
              <w:t>(Size of Fund)</w:t>
            </w:r>
          </w:p>
        </w:tc>
        <w:tc>
          <w:tcPr>
            <w:tcW w:w="2411"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rPr>
                <w:rFonts w:ascii="Times New Roman" w:hAnsi="Times New Roman" w:cs="Times New Roman"/>
                <w:color w:val="000000"/>
                <w:sz w:val="24"/>
                <w:szCs w:val="24"/>
              </w:rPr>
            </w:pPr>
            <w:r>
              <w:rPr>
                <w:rFonts w:ascii="Times New Roman" w:hAnsi="Times New Roman" w:cs="Times New Roman"/>
                <w:color w:val="000000"/>
                <w:sz w:val="24"/>
                <w:szCs w:val="24"/>
              </w:rPr>
              <w:t>HKD</w:t>
            </w:r>
            <w:r>
              <w:rPr>
                <w:rFonts w:ascii="Times New Roman" w:hAnsi="Times New Roman" w:cs="Times New Roman"/>
                <w:color w:val="000000"/>
                <w:sz w:val="24"/>
                <w:szCs w:val="24"/>
                <w:lang w:val="en-MY"/>
              </w:rPr>
              <w:t>1,</w:t>
            </w:r>
            <w:r>
              <w:rPr>
                <w:rFonts w:ascii="Times New Roman" w:hAnsi="Times New Roman" w:cs="Times New Roman" w:hint="eastAsia"/>
                <w:color w:val="000000"/>
                <w:sz w:val="24"/>
                <w:szCs w:val="24"/>
              </w:rPr>
              <w:t>7</w:t>
            </w:r>
            <w:r>
              <w:rPr>
                <w:rFonts w:ascii="Times New Roman" w:hAnsi="Times New Roman" w:cs="Times New Roman"/>
                <w:color w:val="000000"/>
                <w:sz w:val="24"/>
                <w:szCs w:val="24"/>
              </w:rPr>
              <w:t>00,000.00</w:t>
            </w:r>
          </w:p>
        </w:tc>
        <w:tc>
          <w:tcPr>
            <w:tcW w:w="2399"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rPr>
                <w:rFonts w:ascii="Times New Roman" w:hAnsi="Times New Roman" w:cs="Times New Roman"/>
                <w:b/>
                <w:bCs/>
                <w:color w:val="000000"/>
                <w:sz w:val="24"/>
                <w:szCs w:val="24"/>
              </w:rPr>
            </w:pPr>
            <w:r>
              <w:rPr>
                <w:rFonts w:ascii="Times New Roman" w:hAnsi="Times New Roman" w:cs="Times New Roman"/>
                <w:b/>
                <w:bCs/>
                <w:color w:val="000000"/>
                <w:sz w:val="24"/>
                <w:szCs w:val="24"/>
              </w:rPr>
              <w:t>货币</w:t>
            </w:r>
          </w:p>
          <w:p w:rsidR="0017182A" w:rsidRDefault="00F1459F">
            <w:pPr>
              <w:rPr>
                <w:rFonts w:ascii="Times New Roman" w:hAnsi="Times New Roman" w:cs="Times New Roman"/>
                <w:color w:val="000000"/>
                <w:sz w:val="24"/>
                <w:szCs w:val="24"/>
              </w:rPr>
            </w:pPr>
            <w:r>
              <w:rPr>
                <w:rFonts w:ascii="Times New Roman" w:hAnsi="Times New Roman" w:cs="Times New Roman"/>
                <w:b/>
                <w:bCs/>
                <w:color w:val="000000"/>
                <w:sz w:val="24"/>
                <w:szCs w:val="24"/>
              </w:rPr>
              <w:t>(Currency)</w:t>
            </w:r>
          </w:p>
        </w:tc>
        <w:tc>
          <w:tcPr>
            <w:tcW w:w="2399"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ind w:firstLineChars="300" w:firstLine="720"/>
              <w:rPr>
                <w:rFonts w:ascii="Times New Roman" w:hAnsi="Times New Roman" w:cs="Times New Roman"/>
                <w:color w:val="000000"/>
                <w:sz w:val="24"/>
                <w:szCs w:val="24"/>
              </w:rPr>
            </w:pPr>
            <w:r>
              <w:rPr>
                <w:rFonts w:ascii="Times New Roman" w:hAnsi="Times New Roman" w:cs="Times New Roman"/>
                <w:color w:val="000000"/>
                <w:sz w:val="24"/>
                <w:szCs w:val="24"/>
              </w:rPr>
              <w:t>HKD</w:t>
            </w:r>
          </w:p>
        </w:tc>
      </w:tr>
    </w:tbl>
    <w:p w:rsidR="00223861" w:rsidRDefault="00223861">
      <w:pPr>
        <w:rPr>
          <w:lang w:val="en-MY"/>
        </w:rPr>
      </w:pPr>
    </w:p>
    <w:p w:rsidR="00223861" w:rsidRDefault="00A06C74">
      <w:r>
        <w:rPr>
          <w:noProof/>
          <w:lang w:eastAsia="en-US"/>
        </w:rPr>
        <w:drawing>
          <wp:inline distT="0" distB="0" distL="114300" distR="114300">
            <wp:extent cx="3123565" cy="2333625"/>
            <wp:effectExtent l="0" t="0" r="635" b="9525"/>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a:picLocks noChangeAspect="1"/>
                    </pic:cNvPicPr>
                  </pic:nvPicPr>
                  <pic:blipFill>
                    <a:blip r:embed="rId6"/>
                    <a:stretch>
                      <a:fillRect/>
                    </a:stretch>
                  </pic:blipFill>
                  <pic:spPr>
                    <a:xfrm>
                      <a:off x="0" y="0"/>
                      <a:ext cx="3123565" cy="2333625"/>
                    </a:xfrm>
                    <a:prstGeom prst="rect">
                      <a:avLst/>
                    </a:prstGeom>
                    <a:noFill/>
                    <a:ln w="9525">
                      <a:noFill/>
                    </a:ln>
                  </pic:spPr>
                </pic:pic>
              </a:graphicData>
            </a:graphic>
          </wp:inline>
        </w:drawing>
      </w:r>
      <w:bookmarkStart w:id="0" w:name="_GoBack"/>
      <w:bookmarkEnd w:id="0"/>
      <w:r>
        <w:rPr>
          <w:noProof/>
          <w:lang w:eastAsia="en-US"/>
        </w:rPr>
        <w:drawing>
          <wp:inline distT="0" distB="0" distL="114300" distR="114300">
            <wp:extent cx="3123565" cy="4361815"/>
            <wp:effectExtent l="0" t="0" r="635" b="63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pic:cNvPicPr>
                  </pic:nvPicPr>
                  <pic:blipFill>
                    <a:blip r:embed="rId7"/>
                    <a:stretch>
                      <a:fillRect/>
                    </a:stretch>
                  </pic:blipFill>
                  <pic:spPr>
                    <a:xfrm>
                      <a:off x="0" y="0"/>
                      <a:ext cx="3123565" cy="4361815"/>
                    </a:xfrm>
                    <a:prstGeom prst="rect">
                      <a:avLst/>
                    </a:prstGeom>
                    <a:noFill/>
                    <a:ln w="9525">
                      <a:noFill/>
                    </a:ln>
                  </pic:spPr>
                </pic:pic>
              </a:graphicData>
            </a:graphic>
          </wp:inline>
        </w:drawing>
      </w:r>
    </w:p>
    <w:p w:rsidR="00846F9B" w:rsidRDefault="00846F9B">
      <w:pPr>
        <w:pStyle w:val="Heading1"/>
        <w:shd w:val="clear" w:color="auto" w:fill="FFFFFF"/>
        <w:spacing w:beforeAutospacing="0" w:afterAutospacing="0" w:line="540" w:lineRule="atLeast"/>
        <w:rPr>
          <w:rFonts w:ascii="Helvetica" w:eastAsia="Helvetica" w:hAnsi="Helvetica" w:cs="Helvetica" w:hint="default"/>
          <w:color w:val="333333"/>
          <w:sz w:val="24"/>
          <w:szCs w:val="24"/>
          <w:shd w:val="clear" w:color="auto" w:fill="FFFFFF"/>
        </w:rPr>
      </w:pPr>
    </w:p>
    <w:p w:rsidR="00846F9B" w:rsidRDefault="00846F9B">
      <w:pPr>
        <w:pStyle w:val="Heading1"/>
        <w:shd w:val="clear" w:color="auto" w:fill="FFFFFF"/>
        <w:spacing w:beforeAutospacing="0" w:afterAutospacing="0" w:line="540" w:lineRule="atLeast"/>
        <w:rPr>
          <w:rFonts w:ascii="Helvetica" w:eastAsia="Helvetica" w:hAnsi="Helvetica" w:cs="Helvetica" w:hint="default"/>
          <w:color w:val="333333"/>
          <w:sz w:val="24"/>
          <w:szCs w:val="24"/>
          <w:shd w:val="clear" w:color="auto" w:fill="FFFFFF"/>
        </w:rPr>
      </w:pPr>
    </w:p>
    <w:p w:rsidR="00223861" w:rsidRDefault="00A06C74">
      <w:pPr>
        <w:pStyle w:val="Heading1"/>
        <w:shd w:val="clear" w:color="auto" w:fill="FFFFFF"/>
        <w:spacing w:beforeAutospacing="0" w:afterAutospacing="0" w:line="540" w:lineRule="atLeast"/>
        <w:rPr>
          <w:rFonts w:ascii="Helvetica" w:eastAsia="Helvetica" w:hAnsi="Helvetica" w:cs="Helvetica" w:hint="default"/>
          <w:color w:val="333333"/>
          <w:sz w:val="24"/>
          <w:szCs w:val="24"/>
          <w:shd w:val="clear" w:color="auto" w:fill="FFFFFF"/>
        </w:rPr>
      </w:pPr>
      <w:r>
        <w:rPr>
          <w:rFonts w:ascii="Helvetica" w:eastAsia="Helvetica" w:hAnsi="Helvetica" w:cs="Helvetica" w:hint="default"/>
          <w:color w:val="333333"/>
          <w:sz w:val="24"/>
          <w:szCs w:val="24"/>
          <w:shd w:val="clear" w:color="auto" w:fill="FFFFFF"/>
        </w:rPr>
        <w:lastRenderedPageBreak/>
        <w:t>西王特钢(01266.HK)：显著的价值重估潜力 首次覆盖予“买入”评级</w:t>
      </w:r>
    </w:p>
    <w:p w:rsidR="00F1459F" w:rsidRPr="00F1459F" w:rsidRDefault="00F1459F" w:rsidP="00F1459F">
      <w:pPr>
        <w:rPr>
          <w:b/>
          <w:sz w:val="28"/>
          <w:szCs w:val="28"/>
        </w:rPr>
      </w:pPr>
      <w:r>
        <w:rPr>
          <w:b/>
          <w:sz w:val="28"/>
          <w:szCs w:val="28"/>
        </w:rPr>
        <w:t>(</w:t>
      </w:r>
      <w:r w:rsidRPr="00F1459F">
        <w:rPr>
          <w:b/>
          <w:sz w:val="28"/>
          <w:szCs w:val="28"/>
        </w:rPr>
        <w:t xml:space="preserve">Significant </w:t>
      </w:r>
      <w:r>
        <w:rPr>
          <w:b/>
          <w:sz w:val="28"/>
          <w:szCs w:val="28"/>
        </w:rPr>
        <w:t xml:space="preserve">shown of </w:t>
      </w:r>
      <w:r w:rsidRPr="00F1459F">
        <w:rPr>
          <w:b/>
          <w:sz w:val="28"/>
          <w:szCs w:val="28"/>
        </w:rPr>
        <w:t>revaluation potent</w:t>
      </w:r>
      <w:r>
        <w:rPr>
          <w:b/>
          <w:sz w:val="28"/>
          <w:szCs w:val="28"/>
        </w:rPr>
        <w:t>ial, for the first time to overtake</w:t>
      </w:r>
      <w:r w:rsidRPr="00F1459F">
        <w:rPr>
          <w:b/>
          <w:sz w:val="28"/>
          <w:szCs w:val="28"/>
        </w:rPr>
        <w:t xml:space="preserve"> the "buy</w:t>
      </w:r>
      <w:r>
        <w:rPr>
          <w:b/>
          <w:sz w:val="28"/>
          <w:szCs w:val="28"/>
        </w:rPr>
        <w:t>-in</w:t>
      </w:r>
      <w:r w:rsidRPr="00F1459F">
        <w:rPr>
          <w:b/>
          <w:sz w:val="28"/>
          <w:szCs w:val="28"/>
        </w:rPr>
        <w:t>" rating</w:t>
      </w:r>
      <w:r>
        <w:rPr>
          <w:b/>
          <w:sz w:val="28"/>
          <w:szCs w:val="28"/>
        </w:rPr>
        <w:t>)</w:t>
      </w:r>
    </w:p>
    <w:p w:rsidR="00223861" w:rsidRDefault="00A06C74">
      <w:r>
        <w:rPr>
          <w:noProof/>
          <w:lang w:eastAsia="en-US"/>
        </w:rPr>
        <w:drawing>
          <wp:inline distT="0" distB="0" distL="114300" distR="114300">
            <wp:extent cx="6601460" cy="2015490"/>
            <wp:effectExtent l="0" t="0" r="8890" b="381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pic:cNvPicPr>
                      <a:picLocks noChangeAspect="1"/>
                    </pic:cNvPicPr>
                  </pic:nvPicPr>
                  <pic:blipFill>
                    <a:blip r:embed="rId8"/>
                    <a:stretch>
                      <a:fillRect/>
                    </a:stretch>
                  </pic:blipFill>
                  <pic:spPr>
                    <a:xfrm>
                      <a:off x="0" y="0"/>
                      <a:ext cx="6601460" cy="2015490"/>
                    </a:xfrm>
                    <a:prstGeom prst="rect">
                      <a:avLst/>
                    </a:prstGeom>
                    <a:noFill/>
                    <a:ln w="9525">
                      <a:noFill/>
                    </a:ln>
                  </pic:spPr>
                </pic:pic>
              </a:graphicData>
            </a:graphic>
          </wp:inline>
        </w:drawing>
      </w:r>
    </w:p>
    <w:p w:rsidR="00F1459F" w:rsidRDefault="00A06C74" w:rsidP="00F1459F">
      <w:pPr>
        <w:rPr>
          <w:b/>
          <w:bCs/>
          <w:sz w:val="24"/>
          <w:szCs w:val="24"/>
          <w:highlight w:val="cyan"/>
        </w:rPr>
      </w:pPr>
      <w:r>
        <w:rPr>
          <w:rFonts w:hint="eastAsia"/>
          <w:b/>
          <w:bCs/>
          <w:sz w:val="28"/>
          <w:szCs w:val="28"/>
        </w:rPr>
        <w:t>基金会融资</w:t>
      </w:r>
      <w:r w:rsidR="00F1459F">
        <w:rPr>
          <w:b/>
          <w:bCs/>
          <w:sz w:val="28"/>
          <w:szCs w:val="28"/>
        </w:rPr>
        <w:t xml:space="preserve"> </w:t>
      </w:r>
      <w:r w:rsidR="00F1459F">
        <w:rPr>
          <w:b/>
          <w:bCs/>
          <w:sz w:val="24"/>
          <w:szCs w:val="24"/>
        </w:rPr>
        <w:t>(</w:t>
      </w:r>
      <w:r w:rsidR="00F1459F">
        <w:rPr>
          <w:b/>
          <w:bCs/>
          <w:sz w:val="28"/>
          <w:szCs w:val="28"/>
        </w:rPr>
        <w:t>Foundation of Fund)</w:t>
      </w:r>
    </w:p>
    <w:tbl>
      <w:tblPr>
        <w:tblStyle w:val="TableGrid"/>
        <w:tblW w:w="10551" w:type="dxa"/>
        <w:tblLayout w:type="fixed"/>
        <w:tblLook w:val="04A0"/>
      </w:tblPr>
      <w:tblGrid>
        <w:gridCol w:w="2642"/>
        <w:gridCol w:w="2642"/>
        <w:gridCol w:w="2639"/>
        <w:gridCol w:w="2628"/>
      </w:tblGrid>
      <w:tr w:rsidR="00223861">
        <w:tc>
          <w:tcPr>
            <w:tcW w:w="2642"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ind w:firstLineChars="200" w:firstLine="482"/>
              <w:rPr>
                <w:b/>
                <w:bCs/>
                <w:color w:val="000000"/>
                <w:sz w:val="24"/>
                <w:szCs w:val="24"/>
              </w:rPr>
            </w:pPr>
            <w:r>
              <w:rPr>
                <w:rFonts w:hint="eastAsia"/>
                <w:b/>
                <w:bCs/>
                <w:color w:val="000000"/>
                <w:sz w:val="24"/>
                <w:szCs w:val="24"/>
              </w:rPr>
              <w:t>项目资金规模</w:t>
            </w:r>
          </w:p>
          <w:p w:rsidR="00F1459F" w:rsidRDefault="00F1459F" w:rsidP="00F1459F">
            <w:pPr>
              <w:rPr>
                <w:b/>
                <w:bCs/>
                <w:color w:val="000000"/>
                <w:sz w:val="28"/>
                <w:szCs w:val="28"/>
              </w:rPr>
            </w:pPr>
            <w:r>
              <w:rPr>
                <w:b/>
                <w:bCs/>
                <w:color w:val="000000"/>
                <w:sz w:val="28"/>
                <w:szCs w:val="28"/>
              </w:rPr>
              <w:t xml:space="preserve">  (Funding Scale)</w:t>
            </w:r>
          </w:p>
        </w:tc>
        <w:tc>
          <w:tcPr>
            <w:tcW w:w="2642"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F1459F" w:rsidP="00F1459F">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A06C74">
              <w:rPr>
                <w:rFonts w:ascii="Times New Roman" w:hAnsi="Times New Roman" w:cs="Times New Roman" w:hint="eastAsia"/>
                <w:b/>
                <w:bCs/>
                <w:color w:val="000000"/>
                <w:sz w:val="24"/>
                <w:szCs w:val="24"/>
              </w:rPr>
              <w:t>总</w:t>
            </w:r>
            <w:r w:rsidR="00A06C74">
              <w:rPr>
                <w:rFonts w:ascii="Times New Roman" w:hAnsi="Times New Roman" w:cs="Times New Roman"/>
                <w:b/>
                <w:bCs/>
                <w:color w:val="000000"/>
                <w:sz w:val="24"/>
                <w:szCs w:val="24"/>
              </w:rPr>
              <w:t>股</w:t>
            </w:r>
            <w:r w:rsidR="00A06C74">
              <w:rPr>
                <w:rFonts w:ascii="Times New Roman" w:hAnsi="Times New Roman" w:cs="Times New Roman" w:hint="eastAsia"/>
                <w:b/>
                <w:bCs/>
                <w:color w:val="000000"/>
                <w:sz w:val="24"/>
                <w:szCs w:val="24"/>
              </w:rPr>
              <w:t>本</w:t>
            </w:r>
          </w:p>
          <w:p w:rsidR="00F1459F" w:rsidRDefault="00F1459F" w:rsidP="00F1459F">
            <w:pPr>
              <w:rPr>
                <w:b/>
                <w:bCs/>
                <w:color w:val="000000"/>
                <w:sz w:val="28"/>
                <w:szCs w:val="28"/>
              </w:rPr>
            </w:pPr>
            <w:r>
              <w:rPr>
                <w:b/>
                <w:bCs/>
                <w:color w:val="000000"/>
                <w:sz w:val="28"/>
                <w:szCs w:val="28"/>
              </w:rPr>
              <w:t xml:space="preserve">  </w:t>
            </w:r>
            <w:r w:rsidRPr="00FB1844">
              <w:rPr>
                <w:b/>
                <w:bCs/>
                <w:color w:val="000000"/>
                <w:sz w:val="28"/>
                <w:szCs w:val="28"/>
              </w:rPr>
              <w:t>(</w:t>
            </w:r>
            <w:r>
              <w:rPr>
                <w:b/>
                <w:bCs/>
                <w:color w:val="000000"/>
                <w:sz w:val="28"/>
                <w:szCs w:val="28"/>
              </w:rPr>
              <w:t>Share C</w:t>
            </w:r>
            <w:r w:rsidRPr="00FB1844">
              <w:rPr>
                <w:b/>
                <w:bCs/>
                <w:color w:val="000000"/>
                <w:sz w:val="28"/>
                <w:szCs w:val="28"/>
              </w:rPr>
              <w:t>apital)</w:t>
            </w:r>
          </w:p>
        </w:tc>
        <w:tc>
          <w:tcPr>
            <w:tcW w:w="2639"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ind w:firstLineChars="400" w:firstLine="964"/>
              <w:rPr>
                <w:b/>
                <w:bCs/>
                <w:color w:val="000000"/>
                <w:sz w:val="24"/>
                <w:szCs w:val="24"/>
              </w:rPr>
            </w:pPr>
            <w:r>
              <w:rPr>
                <w:rFonts w:hint="eastAsia"/>
                <w:b/>
                <w:bCs/>
                <w:color w:val="000000"/>
                <w:sz w:val="24"/>
                <w:szCs w:val="24"/>
              </w:rPr>
              <w:t>每手</w:t>
            </w:r>
          </w:p>
          <w:p w:rsidR="00F1459F" w:rsidRDefault="00F1459F" w:rsidP="00F1459F">
            <w:pPr>
              <w:rPr>
                <w:b/>
                <w:bCs/>
                <w:color w:val="000000"/>
                <w:sz w:val="28"/>
                <w:szCs w:val="28"/>
              </w:rPr>
            </w:pPr>
            <w:r>
              <w:rPr>
                <w:b/>
                <w:bCs/>
                <w:color w:val="000000"/>
                <w:sz w:val="28"/>
                <w:szCs w:val="28"/>
              </w:rPr>
              <w:t xml:space="preserve">    (Each</w:t>
            </w:r>
            <w:r w:rsidRPr="00FB1844">
              <w:rPr>
                <w:b/>
                <w:bCs/>
                <w:color w:val="000000"/>
                <w:sz w:val="28"/>
                <w:szCs w:val="28"/>
              </w:rPr>
              <w:t xml:space="preserve"> Lot)</w:t>
            </w:r>
          </w:p>
        </w:tc>
        <w:tc>
          <w:tcPr>
            <w:tcW w:w="2628"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ind w:firstLineChars="300" w:firstLine="723"/>
              <w:rPr>
                <w:b/>
                <w:bCs/>
                <w:color w:val="000000"/>
                <w:sz w:val="24"/>
                <w:szCs w:val="24"/>
              </w:rPr>
            </w:pPr>
            <w:r>
              <w:rPr>
                <w:rFonts w:hint="eastAsia"/>
                <w:b/>
                <w:bCs/>
                <w:color w:val="000000"/>
                <w:sz w:val="24"/>
                <w:szCs w:val="24"/>
              </w:rPr>
              <w:t>每股市价</w:t>
            </w:r>
          </w:p>
          <w:p w:rsidR="00F1459F" w:rsidRDefault="00F1459F" w:rsidP="00F1459F">
            <w:pPr>
              <w:rPr>
                <w:b/>
                <w:bCs/>
                <w:color w:val="000000"/>
                <w:sz w:val="28"/>
                <w:szCs w:val="28"/>
              </w:rPr>
            </w:pPr>
            <w:r>
              <w:rPr>
                <w:b/>
                <w:bCs/>
                <w:color w:val="000000"/>
                <w:sz w:val="28"/>
                <w:szCs w:val="28"/>
              </w:rPr>
              <w:t xml:space="preserve"> </w:t>
            </w:r>
            <w:r w:rsidRPr="00D73514">
              <w:rPr>
                <w:b/>
                <w:bCs/>
                <w:color w:val="000000"/>
                <w:sz w:val="28"/>
                <w:szCs w:val="28"/>
              </w:rPr>
              <w:t>(Per Share Price)</w:t>
            </w:r>
          </w:p>
        </w:tc>
      </w:tr>
      <w:tr w:rsidR="00223861">
        <w:tc>
          <w:tcPr>
            <w:tcW w:w="2642"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rPr>
                <w:b/>
                <w:bCs/>
                <w:color w:val="000000"/>
                <w:sz w:val="28"/>
                <w:szCs w:val="28"/>
              </w:rPr>
            </w:pPr>
            <w:r>
              <w:rPr>
                <w:rFonts w:ascii="Times New Roman" w:hAnsi="Times New Roman" w:cs="Times New Roman"/>
                <w:color w:val="000000"/>
                <w:sz w:val="24"/>
                <w:szCs w:val="24"/>
              </w:rPr>
              <w:t>HKD</w:t>
            </w:r>
            <w:r>
              <w:rPr>
                <w:rFonts w:ascii="Times New Roman" w:hAnsi="Times New Roman" w:cs="Times New Roman" w:hint="eastAsia"/>
                <w:color w:val="000000"/>
                <w:sz w:val="24"/>
                <w:szCs w:val="24"/>
              </w:rPr>
              <w:t>1,7</w:t>
            </w:r>
            <w:r>
              <w:rPr>
                <w:rFonts w:ascii="Times New Roman" w:hAnsi="Times New Roman" w:cs="Times New Roman"/>
                <w:color w:val="000000"/>
                <w:sz w:val="24"/>
                <w:szCs w:val="24"/>
              </w:rPr>
              <w:t>00,000.00</w:t>
            </w:r>
          </w:p>
        </w:tc>
        <w:tc>
          <w:tcPr>
            <w:tcW w:w="2642"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ind w:firstLineChars="300" w:firstLine="720"/>
              <w:rPr>
                <w:b/>
                <w:bCs/>
                <w:color w:val="000000"/>
                <w:sz w:val="28"/>
                <w:szCs w:val="28"/>
              </w:rPr>
            </w:pPr>
            <w:r>
              <w:rPr>
                <w:rFonts w:ascii="Times New Roman" w:hAnsi="Times New Roman" w:cs="Times New Roman" w:hint="eastAsia"/>
                <w:color w:val="000000"/>
                <w:sz w:val="24"/>
                <w:szCs w:val="24"/>
              </w:rPr>
              <w:t>100000</w:t>
            </w:r>
            <w:r>
              <w:rPr>
                <w:rFonts w:ascii="Times New Roman" w:hAnsi="Times New Roman" w:cs="Times New Roman"/>
                <w:color w:val="000000"/>
                <w:sz w:val="24"/>
                <w:szCs w:val="24"/>
              </w:rPr>
              <w:t>股</w:t>
            </w:r>
            <w:r w:rsidR="00F1459F">
              <w:rPr>
                <w:rFonts w:ascii="Times New Roman" w:hAnsi="Times New Roman" w:cs="Times New Roman"/>
                <w:color w:val="000000"/>
                <w:sz w:val="24"/>
                <w:szCs w:val="24"/>
              </w:rPr>
              <w:t xml:space="preserve"> share</w:t>
            </w:r>
          </w:p>
        </w:tc>
        <w:tc>
          <w:tcPr>
            <w:tcW w:w="2639"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ind w:firstLineChars="300" w:firstLine="720"/>
              <w:rPr>
                <w:b/>
                <w:bCs/>
                <w:color w:val="000000"/>
                <w:sz w:val="28"/>
                <w:szCs w:val="28"/>
              </w:rPr>
            </w:pPr>
            <w:r>
              <w:rPr>
                <w:rFonts w:ascii="Times New Roman" w:hAnsi="Times New Roman" w:cs="Times New Roman" w:hint="eastAsia"/>
                <w:color w:val="000000"/>
                <w:sz w:val="24"/>
                <w:szCs w:val="24"/>
              </w:rPr>
              <w:t>1000</w:t>
            </w:r>
            <w:r>
              <w:rPr>
                <w:rFonts w:ascii="Times New Roman" w:hAnsi="Times New Roman" w:cs="Times New Roman"/>
                <w:color w:val="000000"/>
                <w:sz w:val="24"/>
                <w:szCs w:val="24"/>
              </w:rPr>
              <w:t>股</w:t>
            </w:r>
            <w:r w:rsidR="00F1459F">
              <w:rPr>
                <w:rFonts w:ascii="Times New Roman" w:hAnsi="Times New Roman" w:cs="Times New Roman"/>
                <w:color w:val="000000"/>
                <w:sz w:val="24"/>
                <w:szCs w:val="24"/>
              </w:rPr>
              <w:t xml:space="preserve"> share</w:t>
            </w:r>
          </w:p>
        </w:tc>
        <w:tc>
          <w:tcPr>
            <w:tcW w:w="2628"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ind w:firstLineChars="200" w:firstLine="480"/>
              <w:rPr>
                <w:b/>
                <w:bCs/>
                <w:color w:val="000000"/>
                <w:sz w:val="28"/>
                <w:szCs w:val="28"/>
              </w:rPr>
            </w:pPr>
            <w:r>
              <w:rPr>
                <w:rFonts w:ascii="Times New Roman" w:hAnsi="Times New Roman" w:cs="Times New Roman"/>
                <w:color w:val="000000"/>
                <w:sz w:val="24"/>
                <w:szCs w:val="24"/>
              </w:rPr>
              <w:t>HKD</w:t>
            </w:r>
            <w:r>
              <w:rPr>
                <w:rFonts w:ascii="Times New Roman" w:hAnsi="Times New Roman" w:cs="Times New Roman" w:hint="eastAsia"/>
                <w:color w:val="000000"/>
                <w:sz w:val="24"/>
                <w:szCs w:val="24"/>
              </w:rPr>
              <w:t>17,000.00</w:t>
            </w:r>
          </w:p>
        </w:tc>
      </w:tr>
    </w:tbl>
    <w:p w:rsidR="00846F9B" w:rsidRDefault="00846F9B">
      <w:pPr>
        <w:rPr>
          <w:b/>
          <w:bCs/>
          <w:sz w:val="24"/>
          <w:szCs w:val="24"/>
        </w:rPr>
      </w:pPr>
    </w:p>
    <w:p w:rsidR="00223861" w:rsidRDefault="00A06C74">
      <w:pPr>
        <w:rPr>
          <w:b/>
          <w:bCs/>
          <w:sz w:val="24"/>
          <w:szCs w:val="24"/>
        </w:rPr>
      </w:pPr>
      <w:r>
        <w:rPr>
          <w:rFonts w:hint="eastAsia"/>
          <w:b/>
          <w:bCs/>
          <w:sz w:val="24"/>
          <w:szCs w:val="24"/>
        </w:rPr>
        <w:t>利息协议锁定期</w:t>
      </w:r>
      <w:r w:rsidR="00F1459F">
        <w:rPr>
          <w:b/>
          <w:bCs/>
          <w:sz w:val="24"/>
          <w:szCs w:val="24"/>
        </w:rPr>
        <w:t xml:space="preserve"> (</w:t>
      </w:r>
      <w:r w:rsidR="00F1459F" w:rsidRPr="00FB1844">
        <w:rPr>
          <w:b/>
          <w:bCs/>
          <w:sz w:val="28"/>
          <w:szCs w:val="28"/>
        </w:rPr>
        <w:t xml:space="preserve">Interest </w:t>
      </w:r>
      <w:r w:rsidR="00F1459F">
        <w:rPr>
          <w:b/>
          <w:bCs/>
          <w:sz w:val="28"/>
          <w:szCs w:val="28"/>
        </w:rPr>
        <w:t>A</w:t>
      </w:r>
      <w:r w:rsidR="00F1459F" w:rsidRPr="00FB1844">
        <w:rPr>
          <w:b/>
          <w:bCs/>
          <w:sz w:val="28"/>
          <w:szCs w:val="28"/>
        </w:rPr>
        <w:t>greement lock</w:t>
      </w:r>
      <w:r w:rsidR="00F1459F">
        <w:rPr>
          <w:b/>
          <w:bCs/>
          <w:sz w:val="28"/>
          <w:szCs w:val="28"/>
        </w:rPr>
        <w:t>ing</w:t>
      </w:r>
      <w:r w:rsidR="00F1459F" w:rsidRPr="00FB1844">
        <w:rPr>
          <w:b/>
          <w:bCs/>
          <w:sz w:val="28"/>
          <w:szCs w:val="28"/>
        </w:rPr>
        <w:t xml:space="preserve"> period</w:t>
      </w:r>
      <w:r w:rsidR="00F1459F">
        <w:rPr>
          <w:b/>
          <w:bCs/>
          <w:sz w:val="28"/>
          <w:szCs w:val="28"/>
        </w:rPr>
        <w:t>)</w:t>
      </w:r>
    </w:p>
    <w:tbl>
      <w:tblPr>
        <w:tblStyle w:val="TableGrid"/>
        <w:tblW w:w="10616" w:type="dxa"/>
        <w:tblLayout w:type="fixed"/>
        <w:tblLook w:val="04A0"/>
      </w:tblPr>
      <w:tblGrid>
        <w:gridCol w:w="2654"/>
        <w:gridCol w:w="2654"/>
        <w:gridCol w:w="2654"/>
        <w:gridCol w:w="2654"/>
      </w:tblGrid>
      <w:tr w:rsidR="00223861">
        <w:tc>
          <w:tcPr>
            <w:tcW w:w="5308" w:type="dxa"/>
            <w:gridSpan w:val="2"/>
            <w:tcBorders>
              <w:top w:val="single" w:sz="8" w:space="0" w:color="4BACC6"/>
              <w:left w:val="single" w:sz="8" w:space="0" w:color="4BACC6"/>
              <w:bottom w:val="single" w:sz="8" w:space="0" w:color="4BACC6"/>
              <w:right w:val="single" w:sz="8" w:space="0" w:color="4BACC6"/>
            </w:tcBorders>
            <w:shd w:val="clear" w:color="auto" w:fill="B7DDE8"/>
          </w:tcPr>
          <w:p w:rsidR="00223861" w:rsidRDefault="00F1459F" w:rsidP="00F1459F">
            <w:pPr>
              <w:rPr>
                <w:b/>
                <w:bCs/>
                <w:color w:val="000000"/>
                <w:sz w:val="28"/>
                <w:szCs w:val="28"/>
              </w:rPr>
            </w:pPr>
            <w:r>
              <w:rPr>
                <w:b/>
                <w:bCs/>
                <w:color w:val="000000"/>
                <w:sz w:val="28"/>
                <w:szCs w:val="28"/>
              </w:rPr>
              <w:t xml:space="preserve">          </w:t>
            </w:r>
            <w:r w:rsidR="00A06C74">
              <w:rPr>
                <w:rFonts w:hint="eastAsia"/>
                <w:b/>
                <w:bCs/>
                <w:color w:val="000000"/>
                <w:sz w:val="28"/>
                <w:szCs w:val="28"/>
              </w:rPr>
              <w:t>18</w:t>
            </w:r>
            <w:r w:rsidR="00A06C74">
              <w:rPr>
                <w:rFonts w:hint="eastAsia"/>
                <w:b/>
                <w:bCs/>
                <w:color w:val="000000"/>
                <w:sz w:val="28"/>
                <w:szCs w:val="28"/>
              </w:rPr>
              <w:t>个月</w:t>
            </w:r>
            <w:r>
              <w:rPr>
                <w:b/>
                <w:bCs/>
                <w:color w:val="000000"/>
                <w:sz w:val="28"/>
                <w:szCs w:val="28"/>
              </w:rPr>
              <w:t xml:space="preserve"> 18-Month</w:t>
            </w:r>
          </w:p>
        </w:tc>
        <w:tc>
          <w:tcPr>
            <w:tcW w:w="5308" w:type="dxa"/>
            <w:gridSpan w:val="2"/>
            <w:tcBorders>
              <w:top w:val="single" w:sz="8" w:space="0" w:color="4BACC6"/>
              <w:left w:val="single" w:sz="8" w:space="0" w:color="4BACC6"/>
              <w:bottom w:val="single" w:sz="8" w:space="0" w:color="4BACC6"/>
              <w:right w:val="single" w:sz="8" w:space="0" w:color="4BACC6"/>
            </w:tcBorders>
            <w:shd w:val="clear" w:color="auto" w:fill="B7DDE8"/>
          </w:tcPr>
          <w:p w:rsidR="00223861" w:rsidRDefault="00F1459F" w:rsidP="00F1459F">
            <w:pPr>
              <w:rPr>
                <w:b/>
                <w:bCs/>
                <w:color w:val="000000"/>
                <w:sz w:val="28"/>
                <w:szCs w:val="28"/>
              </w:rPr>
            </w:pPr>
            <w:r>
              <w:rPr>
                <w:b/>
                <w:bCs/>
                <w:color w:val="000000"/>
                <w:sz w:val="28"/>
                <w:szCs w:val="28"/>
              </w:rPr>
              <w:t xml:space="preserve">         </w:t>
            </w:r>
            <w:r w:rsidR="00A06C74">
              <w:rPr>
                <w:rFonts w:hint="eastAsia"/>
                <w:b/>
                <w:bCs/>
                <w:color w:val="000000"/>
                <w:sz w:val="28"/>
                <w:szCs w:val="28"/>
              </w:rPr>
              <w:t>36</w:t>
            </w:r>
            <w:r w:rsidR="00A06C74">
              <w:rPr>
                <w:rFonts w:hint="eastAsia"/>
                <w:b/>
                <w:bCs/>
                <w:color w:val="000000"/>
                <w:sz w:val="28"/>
                <w:szCs w:val="28"/>
              </w:rPr>
              <w:t>个月</w:t>
            </w:r>
            <w:r>
              <w:rPr>
                <w:b/>
                <w:bCs/>
                <w:color w:val="000000"/>
                <w:sz w:val="28"/>
                <w:szCs w:val="28"/>
              </w:rPr>
              <w:t xml:space="preserve"> 36-Month</w:t>
            </w:r>
          </w:p>
        </w:tc>
      </w:tr>
      <w:tr w:rsidR="00223861">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ind w:firstLineChars="300" w:firstLine="720"/>
              <w:rPr>
                <w:color w:val="000000"/>
                <w:sz w:val="24"/>
                <w:szCs w:val="24"/>
              </w:rPr>
            </w:pPr>
            <w:r>
              <w:rPr>
                <w:rFonts w:hint="eastAsia"/>
                <w:color w:val="000000"/>
                <w:sz w:val="24"/>
                <w:szCs w:val="24"/>
              </w:rPr>
              <w:t>12</w:t>
            </w:r>
            <w:r>
              <w:rPr>
                <w:rFonts w:hint="eastAsia"/>
                <w:color w:val="000000"/>
                <w:sz w:val="24"/>
                <w:szCs w:val="24"/>
              </w:rPr>
              <w:t>个月</w:t>
            </w: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ind w:firstLineChars="300" w:firstLine="720"/>
              <w:rPr>
                <w:color w:val="000000"/>
                <w:sz w:val="24"/>
                <w:szCs w:val="24"/>
              </w:rPr>
            </w:pPr>
            <w:r>
              <w:rPr>
                <w:rFonts w:hint="eastAsia"/>
                <w:color w:val="000000"/>
                <w:sz w:val="24"/>
                <w:szCs w:val="24"/>
              </w:rPr>
              <w:t>7.8%</w:t>
            </w: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ind w:firstLineChars="200" w:firstLine="480"/>
              <w:rPr>
                <w:color w:val="000000"/>
                <w:sz w:val="24"/>
                <w:szCs w:val="24"/>
              </w:rPr>
            </w:pPr>
            <w:r>
              <w:rPr>
                <w:rFonts w:hint="eastAsia"/>
                <w:color w:val="000000"/>
                <w:sz w:val="24"/>
                <w:szCs w:val="24"/>
              </w:rPr>
              <w:t>12</w:t>
            </w:r>
            <w:r>
              <w:rPr>
                <w:rFonts w:hint="eastAsia"/>
                <w:color w:val="000000"/>
                <w:sz w:val="24"/>
                <w:szCs w:val="24"/>
              </w:rPr>
              <w:t>个月</w:t>
            </w: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1B5D2B">
            <w:pPr>
              <w:ind w:firstLineChars="300" w:firstLine="720"/>
              <w:rPr>
                <w:color w:val="000000"/>
                <w:sz w:val="24"/>
                <w:szCs w:val="24"/>
              </w:rPr>
            </w:pPr>
            <w:r>
              <w:rPr>
                <w:color w:val="000000"/>
                <w:sz w:val="24"/>
                <w:szCs w:val="24"/>
              </w:rPr>
              <w:t>7.8</w:t>
            </w:r>
            <w:r w:rsidR="00A06C74">
              <w:rPr>
                <w:rFonts w:hint="eastAsia"/>
                <w:color w:val="000000"/>
                <w:sz w:val="24"/>
                <w:szCs w:val="24"/>
              </w:rPr>
              <w:t>%</w:t>
            </w:r>
          </w:p>
        </w:tc>
      </w:tr>
      <w:tr w:rsidR="00223861">
        <w:tc>
          <w:tcPr>
            <w:tcW w:w="2654"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ind w:firstLineChars="300" w:firstLine="720"/>
              <w:rPr>
                <w:color w:val="000000"/>
                <w:sz w:val="24"/>
                <w:szCs w:val="24"/>
              </w:rPr>
            </w:pPr>
            <w:r>
              <w:rPr>
                <w:rFonts w:hint="eastAsia"/>
                <w:color w:val="000000"/>
                <w:sz w:val="24"/>
                <w:szCs w:val="24"/>
              </w:rPr>
              <w:t>6</w:t>
            </w:r>
            <w:r>
              <w:rPr>
                <w:rFonts w:hint="eastAsia"/>
                <w:color w:val="000000"/>
                <w:sz w:val="24"/>
                <w:szCs w:val="24"/>
              </w:rPr>
              <w:t>个月</w:t>
            </w:r>
          </w:p>
        </w:tc>
        <w:tc>
          <w:tcPr>
            <w:tcW w:w="2654"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ind w:firstLineChars="300" w:firstLine="720"/>
              <w:rPr>
                <w:color w:val="000000"/>
                <w:sz w:val="24"/>
                <w:szCs w:val="24"/>
              </w:rPr>
            </w:pPr>
            <w:r>
              <w:rPr>
                <w:rFonts w:hint="eastAsia"/>
                <w:color w:val="000000"/>
                <w:sz w:val="24"/>
                <w:szCs w:val="24"/>
              </w:rPr>
              <w:t>3.9%</w:t>
            </w:r>
          </w:p>
        </w:tc>
        <w:tc>
          <w:tcPr>
            <w:tcW w:w="2654"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ind w:firstLineChars="200" w:firstLine="480"/>
              <w:rPr>
                <w:color w:val="000000"/>
                <w:sz w:val="24"/>
                <w:szCs w:val="24"/>
              </w:rPr>
            </w:pPr>
            <w:r>
              <w:rPr>
                <w:rFonts w:hint="eastAsia"/>
                <w:color w:val="000000"/>
                <w:sz w:val="24"/>
                <w:szCs w:val="24"/>
              </w:rPr>
              <w:t>12</w:t>
            </w:r>
            <w:r>
              <w:rPr>
                <w:rFonts w:hint="eastAsia"/>
                <w:color w:val="000000"/>
                <w:sz w:val="24"/>
                <w:szCs w:val="24"/>
              </w:rPr>
              <w:t>个月</w:t>
            </w:r>
          </w:p>
        </w:tc>
        <w:tc>
          <w:tcPr>
            <w:tcW w:w="2654"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1B5D2B">
            <w:pPr>
              <w:ind w:firstLineChars="300" w:firstLine="720"/>
              <w:rPr>
                <w:color w:val="000000"/>
                <w:sz w:val="24"/>
                <w:szCs w:val="24"/>
              </w:rPr>
            </w:pPr>
            <w:r>
              <w:rPr>
                <w:color w:val="000000"/>
                <w:sz w:val="24"/>
                <w:szCs w:val="24"/>
              </w:rPr>
              <w:t>7.8</w:t>
            </w:r>
            <w:r w:rsidR="00A06C74">
              <w:rPr>
                <w:rFonts w:hint="eastAsia"/>
                <w:color w:val="000000"/>
                <w:sz w:val="24"/>
                <w:szCs w:val="24"/>
              </w:rPr>
              <w:t>%</w:t>
            </w:r>
          </w:p>
        </w:tc>
      </w:tr>
      <w:tr w:rsidR="00223861">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223861">
            <w:pPr>
              <w:rPr>
                <w:color w:val="000000"/>
                <w:sz w:val="24"/>
                <w:szCs w:val="24"/>
              </w:rPr>
            </w:pP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223861">
            <w:pPr>
              <w:rPr>
                <w:color w:val="000000"/>
                <w:sz w:val="24"/>
                <w:szCs w:val="24"/>
              </w:rPr>
            </w:pP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ind w:firstLineChars="200" w:firstLine="480"/>
              <w:rPr>
                <w:color w:val="000000"/>
                <w:sz w:val="24"/>
                <w:szCs w:val="24"/>
              </w:rPr>
            </w:pPr>
            <w:r>
              <w:rPr>
                <w:rFonts w:hint="eastAsia"/>
                <w:color w:val="000000"/>
                <w:sz w:val="24"/>
                <w:szCs w:val="24"/>
              </w:rPr>
              <w:t>12</w:t>
            </w:r>
            <w:r>
              <w:rPr>
                <w:rFonts w:hint="eastAsia"/>
                <w:color w:val="000000"/>
                <w:sz w:val="24"/>
                <w:szCs w:val="24"/>
              </w:rPr>
              <w:t>个月</w:t>
            </w:r>
          </w:p>
        </w:tc>
        <w:tc>
          <w:tcPr>
            <w:tcW w:w="2654"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1B5D2B">
            <w:pPr>
              <w:ind w:firstLineChars="300" w:firstLine="720"/>
              <w:rPr>
                <w:color w:val="000000"/>
                <w:sz w:val="24"/>
                <w:szCs w:val="24"/>
              </w:rPr>
            </w:pPr>
            <w:r>
              <w:rPr>
                <w:color w:val="000000"/>
                <w:sz w:val="24"/>
                <w:szCs w:val="24"/>
              </w:rPr>
              <w:t>7.8</w:t>
            </w:r>
            <w:r w:rsidR="00A06C74">
              <w:rPr>
                <w:rFonts w:hint="eastAsia"/>
                <w:color w:val="000000"/>
                <w:sz w:val="24"/>
                <w:szCs w:val="24"/>
              </w:rPr>
              <w:t>%</w:t>
            </w:r>
          </w:p>
        </w:tc>
      </w:tr>
    </w:tbl>
    <w:p w:rsidR="00223861" w:rsidRDefault="00A06C74" w:rsidP="00846F9B">
      <w:pPr>
        <w:pStyle w:val="PlainText"/>
        <w:rPr>
          <w:rFonts w:ascii="MS Mincho" w:eastAsia="MS Mincho" w:hAnsi="MS Mincho" w:cs="MS Mincho"/>
        </w:rPr>
      </w:pPr>
      <w:r>
        <w:rPr>
          <w:rFonts w:ascii="PMingLiU" w:eastAsia="PMingLiU" w:hAnsi="PMingLiU" w:cs="PMingLiU" w:hint="eastAsia"/>
        </w:rPr>
        <w:t>该基金企图达成提供每年</w:t>
      </w:r>
      <w:r>
        <w:rPr>
          <w:rFonts w:hint="eastAsia"/>
        </w:rPr>
        <w:t>7.8%</w:t>
      </w:r>
      <w:r>
        <w:rPr>
          <w:rFonts w:ascii="MS Mincho" w:eastAsia="MS Mincho" w:hAnsi="MS Mincho" w:cs="MS Mincho" w:hint="eastAsia"/>
        </w:rPr>
        <w:t>的定期收入的目的</w:t>
      </w:r>
    </w:p>
    <w:p w:rsidR="00846F9B" w:rsidRPr="00DF0429" w:rsidRDefault="00846F9B" w:rsidP="00846F9B">
      <w:pPr>
        <w:pStyle w:val="PlainText"/>
        <w:rPr>
          <w:sz w:val="24"/>
          <w:szCs w:val="24"/>
        </w:rPr>
      </w:pPr>
      <w:r w:rsidRPr="00DF0429">
        <w:rPr>
          <w:sz w:val="24"/>
          <w:szCs w:val="24"/>
        </w:rPr>
        <w:t>The fund are achieve to provide 7.8% of fixed interest rate each year</w:t>
      </w:r>
    </w:p>
    <w:p w:rsidR="00846F9B" w:rsidRDefault="00846F9B">
      <w:pPr>
        <w:rPr>
          <w:b/>
          <w:bCs/>
          <w:sz w:val="24"/>
          <w:szCs w:val="24"/>
        </w:rPr>
      </w:pPr>
    </w:p>
    <w:p w:rsidR="00223861" w:rsidRDefault="00A06C74">
      <w:pPr>
        <w:rPr>
          <w:b/>
          <w:bCs/>
          <w:sz w:val="24"/>
          <w:szCs w:val="24"/>
        </w:rPr>
      </w:pPr>
      <w:r>
        <w:rPr>
          <w:rFonts w:hint="eastAsia"/>
          <w:b/>
          <w:bCs/>
          <w:sz w:val="24"/>
          <w:szCs w:val="24"/>
        </w:rPr>
        <w:t>演出获利比率</w:t>
      </w:r>
      <w:r w:rsidR="001B5D2B">
        <w:rPr>
          <w:b/>
          <w:bCs/>
          <w:sz w:val="24"/>
          <w:szCs w:val="24"/>
        </w:rPr>
        <w:t xml:space="preserve"> </w:t>
      </w:r>
      <w:r w:rsidR="001B5D2B" w:rsidRPr="00EC79F9">
        <w:rPr>
          <w:b/>
          <w:bCs/>
          <w:sz w:val="28"/>
          <w:szCs w:val="28"/>
        </w:rPr>
        <w:t>(Performance</w:t>
      </w:r>
      <w:r w:rsidR="001B5D2B">
        <w:rPr>
          <w:b/>
          <w:bCs/>
          <w:sz w:val="28"/>
          <w:szCs w:val="28"/>
        </w:rPr>
        <w:t xml:space="preserve"> Fee</w:t>
      </w:r>
      <w:r w:rsidR="001B5D2B" w:rsidRPr="00EC79F9">
        <w:rPr>
          <w:b/>
          <w:bCs/>
          <w:sz w:val="28"/>
          <w:szCs w:val="28"/>
        </w:rPr>
        <w:t xml:space="preserve"> profit ratio</w:t>
      </w:r>
      <w:r w:rsidR="001B5D2B">
        <w:rPr>
          <w:b/>
          <w:bCs/>
          <w:sz w:val="28"/>
          <w:szCs w:val="28"/>
        </w:rPr>
        <w:t>)</w:t>
      </w:r>
    </w:p>
    <w:tbl>
      <w:tblPr>
        <w:tblStyle w:val="TableGrid"/>
        <w:tblW w:w="10616" w:type="dxa"/>
        <w:tblLayout w:type="fixed"/>
        <w:tblLook w:val="04A0"/>
      </w:tblPr>
      <w:tblGrid>
        <w:gridCol w:w="5308"/>
        <w:gridCol w:w="5308"/>
      </w:tblGrid>
      <w:tr w:rsidR="00223861">
        <w:tc>
          <w:tcPr>
            <w:tcW w:w="5308"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1B5D2B" w:rsidP="001B5D2B">
            <w:pPr>
              <w:rPr>
                <w:b/>
                <w:bCs/>
                <w:color w:val="000000"/>
                <w:sz w:val="24"/>
                <w:szCs w:val="24"/>
              </w:rPr>
            </w:pPr>
            <w:r>
              <w:rPr>
                <w:b/>
                <w:bCs/>
                <w:color w:val="000000"/>
                <w:sz w:val="24"/>
                <w:szCs w:val="24"/>
              </w:rPr>
              <w:t xml:space="preserve">            </w:t>
            </w:r>
            <w:r w:rsidR="00A06C74">
              <w:rPr>
                <w:rFonts w:hint="eastAsia"/>
                <w:b/>
                <w:bCs/>
                <w:color w:val="000000"/>
                <w:sz w:val="24"/>
                <w:szCs w:val="24"/>
              </w:rPr>
              <w:t>认购者</w:t>
            </w:r>
            <w:r>
              <w:rPr>
                <w:b/>
                <w:bCs/>
                <w:color w:val="000000"/>
                <w:sz w:val="24"/>
                <w:szCs w:val="24"/>
              </w:rPr>
              <w:t xml:space="preserve"> (Subscriber)</w:t>
            </w:r>
          </w:p>
        </w:tc>
        <w:tc>
          <w:tcPr>
            <w:tcW w:w="5308"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1B5D2B" w:rsidP="001B5D2B">
            <w:pPr>
              <w:rPr>
                <w:b/>
                <w:bCs/>
                <w:color w:val="000000"/>
                <w:sz w:val="24"/>
                <w:szCs w:val="24"/>
              </w:rPr>
            </w:pPr>
            <w:r>
              <w:rPr>
                <w:b/>
                <w:bCs/>
                <w:color w:val="000000"/>
                <w:sz w:val="24"/>
                <w:szCs w:val="24"/>
              </w:rPr>
              <w:t xml:space="preserve">         </w:t>
            </w:r>
            <w:r w:rsidR="00A06C74">
              <w:rPr>
                <w:rFonts w:hint="eastAsia"/>
                <w:b/>
                <w:bCs/>
                <w:color w:val="000000"/>
                <w:sz w:val="24"/>
                <w:szCs w:val="24"/>
              </w:rPr>
              <w:t>基金会</w:t>
            </w:r>
            <w:r>
              <w:rPr>
                <w:b/>
                <w:bCs/>
                <w:color w:val="000000"/>
                <w:sz w:val="24"/>
                <w:szCs w:val="24"/>
              </w:rPr>
              <w:t xml:space="preserve"> (Fund Management)</w:t>
            </w:r>
          </w:p>
        </w:tc>
      </w:tr>
      <w:tr w:rsidR="00223861">
        <w:tc>
          <w:tcPr>
            <w:tcW w:w="5308"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ind w:firstLineChars="1000" w:firstLine="2400"/>
              <w:rPr>
                <w:color w:val="000000"/>
                <w:sz w:val="24"/>
                <w:szCs w:val="24"/>
              </w:rPr>
            </w:pPr>
            <w:r>
              <w:rPr>
                <w:rFonts w:hint="eastAsia"/>
                <w:color w:val="000000"/>
                <w:sz w:val="24"/>
                <w:szCs w:val="24"/>
              </w:rPr>
              <w:t>70%</w:t>
            </w:r>
          </w:p>
        </w:tc>
        <w:tc>
          <w:tcPr>
            <w:tcW w:w="5308"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ind w:firstLineChars="1000" w:firstLine="2400"/>
              <w:rPr>
                <w:color w:val="000000"/>
                <w:sz w:val="24"/>
                <w:szCs w:val="24"/>
              </w:rPr>
            </w:pPr>
            <w:r>
              <w:rPr>
                <w:rFonts w:hint="eastAsia"/>
                <w:color w:val="000000"/>
                <w:sz w:val="24"/>
                <w:szCs w:val="24"/>
              </w:rPr>
              <w:t>30%</w:t>
            </w:r>
          </w:p>
        </w:tc>
      </w:tr>
    </w:tbl>
    <w:p w:rsidR="00846F9B" w:rsidRDefault="00A06C74" w:rsidP="00846F9B">
      <w:pPr>
        <w:pStyle w:val="PlainText"/>
        <w:rPr>
          <w:rFonts w:ascii="MS Mincho" w:eastAsia="MS Mincho" w:hAnsi="MS Mincho" w:cs="MS Mincho"/>
        </w:rPr>
      </w:pPr>
      <w:r>
        <w:rPr>
          <w:rFonts w:ascii="MingLiU" w:eastAsia="MingLiU" w:hAnsi="MingLiU" w:cs="MingLiU" w:hint="eastAsia"/>
        </w:rPr>
        <w:t>业绩费</w:t>
      </w:r>
      <w:r>
        <w:rPr>
          <w:rFonts w:ascii="MS Mincho" w:eastAsia="MS Mincho" w:hAnsi="MS Mincho" w:cs="MS Mincho" w:hint="eastAsia"/>
        </w:rPr>
        <w:t>用必</w:t>
      </w:r>
      <w:r>
        <w:rPr>
          <w:rFonts w:ascii="MingLiU" w:eastAsia="MingLiU" w:hAnsi="MingLiU" w:cs="MingLiU" w:hint="eastAsia"/>
        </w:rPr>
        <w:t>须</w:t>
      </w:r>
      <w:r>
        <w:rPr>
          <w:rFonts w:ascii="MS Mincho" w:eastAsia="MS Mincho" w:hAnsi="MS Mincho" w:cs="MS Mincho" w:hint="eastAsia"/>
        </w:rPr>
        <w:t>是</w:t>
      </w:r>
      <w:r>
        <w:rPr>
          <w:rFonts w:ascii="MingLiU" w:eastAsia="MingLiU" w:hAnsi="MingLiU" w:cs="MingLiU" w:hint="eastAsia"/>
        </w:rPr>
        <w:t>该</w:t>
      </w:r>
      <w:r>
        <w:rPr>
          <w:rFonts w:ascii="MS Mincho" w:eastAsia="MS Mincho" w:hAnsi="MS Mincho" w:cs="MS Mincho" w:hint="eastAsia"/>
        </w:rPr>
        <w:t>基金在</w:t>
      </w:r>
      <w:r>
        <w:rPr>
          <w:rFonts w:ascii="MingLiU" w:eastAsia="MingLiU" w:hAnsi="MingLiU" w:cs="MingLiU" w:hint="eastAsia"/>
        </w:rPr>
        <w:t>该业绩</w:t>
      </w:r>
      <w:r>
        <w:rPr>
          <w:rFonts w:ascii="MS Mincho" w:eastAsia="MS Mincho" w:hAnsi="MS Mincho" w:cs="MS Mincho" w:hint="eastAsia"/>
        </w:rPr>
        <w:t>期</w:t>
      </w:r>
      <w:r>
        <w:rPr>
          <w:rFonts w:ascii="MingLiU" w:eastAsia="MingLiU" w:hAnsi="MingLiU" w:cs="MingLiU" w:hint="eastAsia"/>
        </w:rPr>
        <w:t>间</w:t>
      </w:r>
      <w:r>
        <w:rPr>
          <w:rFonts w:ascii="MS Mincho" w:eastAsia="MS Mincho" w:hAnsi="MS Mincho" w:cs="MS Mincho" w:hint="eastAsia"/>
        </w:rPr>
        <w:t>的</w:t>
      </w:r>
      <w:r>
        <w:rPr>
          <w:rFonts w:ascii="MingLiU" w:eastAsia="MingLiU" w:hAnsi="MingLiU" w:cs="MingLiU" w:hint="eastAsia"/>
        </w:rPr>
        <w:t>资产净值</w:t>
      </w:r>
      <w:r>
        <w:rPr>
          <w:rFonts w:ascii="MS Mincho" w:eastAsia="MS Mincho" w:hAnsi="MS Mincho" w:cs="MS Mincho" w:hint="eastAsia"/>
        </w:rPr>
        <w:t>升</w:t>
      </w:r>
      <w:r>
        <w:rPr>
          <w:rFonts w:ascii="MingLiU" w:eastAsia="MingLiU" w:hAnsi="MingLiU" w:cs="MingLiU" w:hint="eastAsia"/>
        </w:rPr>
        <w:t>值</w:t>
      </w:r>
      <w:r>
        <w:rPr>
          <w:rFonts w:ascii="MS Mincho" w:eastAsia="MS Mincho" w:hAnsi="MS Mincho" w:cs="MS Mincho" w:hint="eastAsia"/>
        </w:rPr>
        <w:t>的百分之三十</w:t>
      </w:r>
      <w:r>
        <w:rPr>
          <w:rFonts w:hint="eastAsia"/>
        </w:rPr>
        <w:t>30%</w:t>
      </w:r>
      <w:r>
        <w:rPr>
          <w:rFonts w:ascii="MS Mincho" w:eastAsia="MS Mincho" w:hAnsi="MS Mincho" w:cs="MS Mincho" w:hint="eastAsia"/>
        </w:rPr>
        <w:t>任何</w:t>
      </w:r>
      <w:r>
        <w:rPr>
          <w:rFonts w:ascii="MingLiU" w:eastAsia="MingLiU" w:hAnsi="MingLiU" w:cs="MingLiU" w:hint="eastAsia"/>
        </w:rPr>
        <w:t>买</w:t>
      </w:r>
      <w:r>
        <w:rPr>
          <w:rFonts w:ascii="MS Mincho" w:eastAsia="MS Mincho" w:hAnsi="MS Mincho" w:cs="MS Mincho" w:hint="eastAsia"/>
        </w:rPr>
        <w:t>回及分</w:t>
      </w:r>
      <w:r>
        <w:rPr>
          <w:rFonts w:ascii="MingLiU" w:eastAsia="MingLiU" w:hAnsi="MingLiU" w:cs="MingLiU" w:hint="eastAsia"/>
        </w:rPr>
        <w:t>发</w:t>
      </w:r>
      <w:r>
        <w:rPr>
          <w:rFonts w:ascii="MS Mincho" w:eastAsia="MS Mincho" w:hAnsi="MS Mincho" w:cs="MS Mincho" w:hint="eastAsia"/>
        </w:rPr>
        <w:t>的</w:t>
      </w:r>
      <w:r>
        <w:rPr>
          <w:rFonts w:ascii="MingLiU" w:eastAsia="MingLiU" w:hAnsi="MingLiU" w:cs="MingLiU" w:hint="eastAsia"/>
        </w:rPr>
        <w:t>调</w:t>
      </w:r>
      <w:r>
        <w:rPr>
          <w:rFonts w:ascii="MS Mincho" w:eastAsia="MS Mincho" w:hAnsi="MS Mincho" w:cs="MS Mincho" w:hint="eastAsia"/>
        </w:rPr>
        <w:t>整）</w:t>
      </w:r>
    </w:p>
    <w:p w:rsidR="00846F9B" w:rsidRPr="00846F9B" w:rsidRDefault="00846F9B" w:rsidP="00846F9B">
      <w:pPr>
        <w:pStyle w:val="PlainText"/>
        <w:rPr>
          <w:rFonts w:ascii="MS Mincho" w:eastAsia="MS Mincho" w:hAnsi="MS Mincho" w:cs="MS Mincho"/>
        </w:rPr>
      </w:pPr>
      <w:r>
        <w:rPr>
          <w:bCs/>
          <w:sz w:val="24"/>
          <w:szCs w:val="24"/>
        </w:rPr>
        <w:t>Th</w:t>
      </w:r>
      <w:r w:rsidRPr="00DF0429">
        <w:rPr>
          <w:bCs/>
          <w:sz w:val="24"/>
          <w:szCs w:val="24"/>
        </w:rPr>
        <w:t>e performance fee must be 30% of the fund's Net Asset Value (NAV) during that performance period and with any dealing adjustments in conditions.</w:t>
      </w:r>
    </w:p>
    <w:p w:rsidR="00846F9B" w:rsidRDefault="00846F9B" w:rsidP="00846F9B">
      <w:pPr>
        <w:pStyle w:val="PlainText"/>
        <w:rPr>
          <w:b/>
          <w:bCs/>
          <w:highlight w:val="yellow"/>
        </w:rPr>
      </w:pPr>
    </w:p>
    <w:p w:rsidR="001B5D2B" w:rsidRDefault="00A06C74" w:rsidP="001B5D2B">
      <w:pPr>
        <w:rPr>
          <w:sz w:val="24"/>
          <w:szCs w:val="24"/>
        </w:rPr>
      </w:pPr>
      <w:r>
        <w:rPr>
          <w:rFonts w:hint="eastAsia"/>
          <w:b/>
          <w:bCs/>
          <w:sz w:val="24"/>
          <w:szCs w:val="24"/>
        </w:rPr>
        <w:t>预期项目涨势分析</w:t>
      </w:r>
      <w:r w:rsidR="001B5D2B">
        <w:rPr>
          <w:b/>
          <w:bCs/>
          <w:sz w:val="24"/>
          <w:szCs w:val="24"/>
        </w:rPr>
        <w:t xml:space="preserve"> (</w:t>
      </w:r>
      <w:r w:rsidR="001B5D2B" w:rsidRPr="00EC79F9">
        <w:rPr>
          <w:b/>
          <w:bCs/>
          <w:sz w:val="28"/>
          <w:szCs w:val="28"/>
        </w:rPr>
        <w:t>Expected</w:t>
      </w:r>
      <w:r w:rsidR="00846F9B">
        <w:rPr>
          <w:b/>
          <w:bCs/>
          <w:sz w:val="28"/>
          <w:szCs w:val="28"/>
        </w:rPr>
        <w:t xml:space="preserve"> Inflation</w:t>
      </w:r>
      <w:r w:rsidR="001B5D2B" w:rsidRPr="00EC79F9">
        <w:rPr>
          <w:b/>
          <w:bCs/>
          <w:sz w:val="28"/>
          <w:szCs w:val="28"/>
        </w:rPr>
        <w:t xml:space="preserve"> </w:t>
      </w:r>
      <w:r w:rsidR="001B5D2B">
        <w:rPr>
          <w:b/>
          <w:bCs/>
          <w:sz w:val="28"/>
          <w:szCs w:val="28"/>
        </w:rPr>
        <w:t>A</w:t>
      </w:r>
      <w:r w:rsidR="001B5D2B" w:rsidRPr="00EC79F9">
        <w:rPr>
          <w:b/>
          <w:bCs/>
          <w:sz w:val="28"/>
          <w:szCs w:val="28"/>
        </w:rPr>
        <w:t>nalysis</w:t>
      </w:r>
      <w:r w:rsidR="001B5D2B">
        <w:rPr>
          <w:b/>
          <w:bCs/>
          <w:sz w:val="28"/>
          <w:szCs w:val="28"/>
        </w:rPr>
        <w:t>)</w:t>
      </w:r>
    </w:p>
    <w:tbl>
      <w:tblPr>
        <w:tblStyle w:val="TableGrid"/>
        <w:tblW w:w="10616" w:type="dxa"/>
        <w:tblLayout w:type="fixed"/>
        <w:tblLook w:val="04A0"/>
      </w:tblPr>
      <w:tblGrid>
        <w:gridCol w:w="5308"/>
        <w:gridCol w:w="5308"/>
      </w:tblGrid>
      <w:tr w:rsidR="00223861">
        <w:tc>
          <w:tcPr>
            <w:tcW w:w="5308"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1B5D2B" w:rsidP="001B5D2B">
            <w:pPr>
              <w:rPr>
                <w:b/>
                <w:bCs/>
                <w:color w:val="000000"/>
                <w:sz w:val="24"/>
                <w:szCs w:val="24"/>
              </w:rPr>
            </w:pPr>
            <w:r>
              <w:rPr>
                <w:b/>
                <w:bCs/>
                <w:color w:val="000000"/>
                <w:sz w:val="24"/>
                <w:szCs w:val="24"/>
              </w:rPr>
              <w:t xml:space="preserve">             </w:t>
            </w:r>
            <w:r w:rsidR="00A06C74">
              <w:rPr>
                <w:rFonts w:hint="eastAsia"/>
                <w:b/>
                <w:bCs/>
                <w:color w:val="000000"/>
                <w:sz w:val="24"/>
                <w:szCs w:val="24"/>
              </w:rPr>
              <w:t>18</w:t>
            </w:r>
            <w:r w:rsidR="00A06C74">
              <w:rPr>
                <w:rFonts w:hint="eastAsia"/>
                <w:b/>
                <w:bCs/>
                <w:color w:val="000000"/>
                <w:sz w:val="24"/>
                <w:szCs w:val="24"/>
              </w:rPr>
              <w:t>个月</w:t>
            </w:r>
            <w:r>
              <w:rPr>
                <w:b/>
                <w:bCs/>
                <w:color w:val="000000"/>
                <w:sz w:val="24"/>
                <w:szCs w:val="24"/>
              </w:rPr>
              <w:t xml:space="preserve"> 18-Month</w:t>
            </w:r>
          </w:p>
        </w:tc>
        <w:tc>
          <w:tcPr>
            <w:tcW w:w="5308"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1B5D2B" w:rsidP="001B5D2B">
            <w:pPr>
              <w:rPr>
                <w:b/>
                <w:bCs/>
                <w:color w:val="000000"/>
                <w:sz w:val="24"/>
                <w:szCs w:val="24"/>
              </w:rPr>
            </w:pPr>
            <w:r>
              <w:rPr>
                <w:b/>
                <w:bCs/>
                <w:color w:val="000000"/>
                <w:sz w:val="24"/>
                <w:szCs w:val="24"/>
              </w:rPr>
              <w:t xml:space="preserve">           </w:t>
            </w:r>
            <w:r w:rsidR="00A06C74">
              <w:rPr>
                <w:rFonts w:hint="eastAsia"/>
                <w:b/>
                <w:bCs/>
                <w:color w:val="000000"/>
                <w:sz w:val="24"/>
                <w:szCs w:val="24"/>
              </w:rPr>
              <w:t>36</w:t>
            </w:r>
            <w:r w:rsidR="00A06C74">
              <w:rPr>
                <w:rFonts w:hint="eastAsia"/>
                <w:b/>
                <w:bCs/>
                <w:color w:val="000000"/>
                <w:sz w:val="24"/>
                <w:szCs w:val="24"/>
              </w:rPr>
              <w:t>个月</w:t>
            </w:r>
            <w:r>
              <w:rPr>
                <w:b/>
                <w:bCs/>
                <w:color w:val="000000"/>
                <w:sz w:val="24"/>
                <w:szCs w:val="24"/>
              </w:rPr>
              <w:t xml:space="preserve"> 36-Month</w:t>
            </w:r>
          </w:p>
        </w:tc>
      </w:tr>
      <w:tr w:rsidR="00223861">
        <w:tc>
          <w:tcPr>
            <w:tcW w:w="5308"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ind w:firstLineChars="900" w:firstLine="2160"/>
              <w:rPr>
                <w:color w:val="000000"/>
                <w:sz w:val="24"/>
                <w:szCs w:val="24"/>
              </w:rPr>
            </w:pPr>
            <w:r>
              <w:rPr>
                <w:rFonts w:hint="eastAsia"/>
                <w:color w:val="000000"/>
                <w:sz w:val="24"/>
                <w:szCs w:val="24"/>
              </w:rPr>
              <w:t>8%~15%++</w:t>
            </w:r>
          </w:p>
        </w:tc>
        <w:tc>
          <w:tcPr>
            <w:tcW w:w="5308"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ind w:firstLineChars="800" w:firstLine="1920"/>
              <w:rPr>
                <w:color w:val="000000"/>
                <w:sz w:val="24"/>
                <w:szCs w:val="24"/>
              </w:rPr>
            </w:pPr>
            <w:r>
              <w:rPr>
                <w:rFonts w:hint="eastAsia"/>
                <w:color w:val="000000"/>
                <w:sz w:val="24"/>
                <w:szCs w:val="24"/>
              </w:rPr>
              <w:t>24%~45%++</w:t>
            </w:r>
          </w:p>
        </w:tc>
      </w:tr>
    </w:tbl>
    <w:p w:rsidR="00223861" w:rsidRDefault="00223861">
      <w:pPr>
        <w:rPr>
          <w:b/>
          <w:bCs/>
          <w:sz w:val="24"/>
          <w:szCs w:val="24"/>
        </w:rPr>
      </w:pPr>
    </w:p>
    <w:p w:rsidR="001B5D2B" w:rsidRPr="00200895" w:rsidRDefault="00A06C74" w:rsidP="001B5D2B">
      <w:pPr>
        <w:rPr>
          <w:b/>
          <w:bCs/>
          <w:sz w:val="24"/>
          <w:szCs w:val="24"/>
        </w:rPr>
      </w:pPr>
      <w:r>
        <w:rPr>
          <w:rFonts w:hint="eastAsia"/>
          <w:b/>
          <w:bCs/>
          <w:sz w:val="24"/>
          <w:szCs w:val="24"/>
        </w:rPr>
        <w:t>预期项目涨势分析资产</w:t>
      </w:r>
      <w:r w:rsidR="001B5D2B">
        <w:rPr>
          <w:b/>
          <w:bCs/>
          <w:sz w:val="24"/>
          <w:szCs w:val="24"/>
        </w:rPr>
        <w:t xml:space="preserve"> (</w:t>
      </w:r>
      <w:r w:rsidR="001B5D2B" w:rsidRPr="00EC79F9">
        <w:rPr>
          <w:b/>
          <w:bCs/>
          <w:sz w:val="28"/>
          <w:szCs w:val="28"/>
        </w:rPr>
        <w:t xml:space="preserve">Expected </w:t>
      </w:r>
      <w:r w:rsidR="001B5D2B">
        <w:rPr>
          <w:b/>
          <w:bCs/>
          <w:sz w:val="28"/>
          <w:szCs w:val="28"/>
        </w:rPr>
        <w:t>Assets Analysis)</w:t>
      </w:r>
    </w:p>
    <w:tbl>
      <w:tblPr>
        <w:tblStyle w:val="TableGrid"/>
        <w:tblW w:w="10616" w:type="dxa"/>
        <w:tblLayout w:type="fixed"/>
        <w:tblLook w:val="04A0"/>
      </w:tblPr>
      <w:tblGrid>
        <w:gridCol w:w="1768"/>
        <w:gridCol w:w="1769"/>
        <w:gridCol w:w="1770"/>
        <w:gridCol w:w="1769"/>
        <w:gridCol w:w="1770"/>
        <w:gridCol w:w="1770"/>
      </w:tblGrid>
      <w:tr w:rsidR="00223861" w:rsidTr="001B5D2B">
        <w:tc>
          <w:tcPr>
            <w:tcW w:w="5307" w:type="dxa"/>
            <w:gridSpan w:val="3"/>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ind w:firstLineChars="400" w:firstLine="964"/>
              <w:rPr>
                <w:b/>
                <w:bCs/>
                <w:color w:val="000000"/>
                <w:sz w:val="24"/>
                <w:szCs w:val="24"/>
              </w:rPr>
            </w:pPr>
            <w:r>
              <w:rPr>
                <w:rFonts w:hint="eastAsia"/>
                <w:b/>
                <w:bCs/>
                <w:color w:val="000000"/>
                <w:sz w:val="24"/>
                <w:szCs w:val="24"/>
              </w:rPr>
              <w:t>认购者</w:t>
            </w:r>
            <w:r>
              <w:rPr>
                <w:rFonts w:hint="eastAsia"/>
                <w:b/>
                <w:bCs/>
                <w:color w:val="000000"/>
                <w:sz w:val="28"/>
                <w:szCs w:val="28"/>
              </w:rPr>
              <w:t>18</w:t>
            </w:r>
            <w:r>
              <w:rPr>
                <w:rFonts w:hint="eastAsia"/>
                <w:b/>
                <w:bCs/>
                <w:color w:val="000000"/>
                <w:sz w:val="28"/>
                <w:szCs w:val="28"/>
              </w:rPr>
              <w:t>个月</w:t>
            </w:r>
            <w:r>
              <w:rPr>
                <w:rFonts w:hint="eastAsia"/>
                <w:b/>
                <w:bCs/>
                <w:color w:val="000000"/>
                <w:sz w:val="24"/>
                <w:szCs w:val="24"/>
              </w:rPr>
              <w:t>预期资产</w:t>
            </w:r>
          </w:p>
          <w:p w:rsidR="001B5D2B" w:rsidRDefault="001B5D2B" w:rsidP="001B5D2B">
            <w:pPr>
              <w:rPr>
                <w:b/>
                <w:bCs/>
                <w:color w:val="000000"/>
                <w:sz w:val="24"/>
                <w:szCs w:val="24"/>
              </w:rPr>
            </w:pPr>
            <w:r>
              <w:rPr>
                <w:b/>
                <w:bCs/>
                <w:color w:val="000000"/>
                <w:sz w:val="24"/>
                <w:szCs w:val="24"/>
              </w:rPr>
              <w:t xml:space="preserve">    (</w:t>
            </w:r>
            <w:r w:rsidRPr="00EC79F9">
              <w:rPr>
                <w:b/>
                <w:bCs/>
                <w:color w:val="000000"/>
                <w:sz w:val="24"/>
                <w:szCs w:val="24"/>
              </w:rPr>
              <w:t>Subscriber's 18-month expected assets</w:t>
            </w:r>
            <w:r>
              <w:rPr>
                <w:b/>
                <w:bCs/>
                <w:color w:val="000000"/>
                <w:sz w:val="24"/>
                <w:szCs w:val="24"/>
              </w:rPr>
              <w:t>)</w:t>
            </w:r>
          </w:p>
        </w:tc>
        <w:tc>
          <w:tcPr>
            <w:tcW w:w="5309" w:type="dxa"/>
            <w:gridSpan w:val="3"/>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ind w:firstLineChars="500" w:firstLine="1205"/>
              <w:rPr>
                <w:b/>
                <w:bCs/>
                <w:color w:val="000000"/>
                <w:sz w:val="24"/>
                <w:szCs w:val="24"/>
              </w:rPr>
            </w:pPr>
            <w:r>
              <w:rPr>
                <w:rFonts w:hint="eastAsia"/>
                <w:b/>
                <w:bCs/>
                <w:color w:val="000000"/>
                <w:sz w:val="24"/>
                <w:szCs w:val="24"/>
              </w:rPr>
              <w:t>认购者</w:t>
            </w:r>
            <w:r>
              <w:rPr>
                <w:rFonts w:hint="eastAsia"/>
                <w:b/>
                <w:bCs/>
                <w:color w:val="000000"/>
                <w:sz w:val="24"/>
                <w:szCs w:val="24"/>
              </w:rPr>
              <w:t>36</w:t>
            </w:r>
            <w:r>
              <w:rPr>
                <w:rFonts w:hint="eastAsia"/>
                <w:b/>
                <w:bCs/>
                <w:color w:val="000000"/>
                <w:sz w:val="28"/>
                <w:szCs w:val="28"/>
              </w:rPr>
              <w:t>个月</w:t>
            </w:r>
            <w:r>
              <w:rPr>
                <w:rFonts w:hint="eastAsia"/>
                <w:b/>
                <w:bCs/>
                <w:color w:val="000000"/>
                <w:sz w:val="24"/>
                <w:szCs w:val="24"/>
              </w:rPr>
              <w:t>预期资产</w:t>
            </w:r>
          </w:p>
          <w:p w:rsidR="001B5D2B" w:rsidRDefault="001B5D2B" w:rsidP="001B5D2B">
            <w:pPr>
              <w:rPr>
                <w:b/>
                <w:bCs/>
                <w:color w:val="000000"/>
                <w:sz w:val="24"/>
                <w:szCs w:val="24"/>
              </w:rPr>
            </w:pPr>
            <w:r>
              <w:rPr>
                <w:b/>
                <w:bCs/>
                <w:color w:val="000000"/>
                <w:sz w:val="24"/>
                <w:szCs w:val="24"/>
              </w:rPr>
              <w:t xml:space="preserve">    (Subscriber's 36</w:t>
            </w:r>
            <w:r w:rsidRPr="00EC79F9">
              <w:rPr>
                <w:b/>
                <w:bCs/>
                <w:color w:val="000000"/>
                <w:sz w:val="24"/>
                <w:szCs w:val="24"/>
              </w:rPr>
              <w:t>-month expected assets</w:t>
            </w:r>
            <w:r>
              <w:rPr>
                <w:b/>
                <w:bCs/>
                <w:color w:val="000000"/>
                <w:sz w:val="24"/>
                <w:szCs w:val="24"/>
              </w:rPr>
              <w:t>)</w:t>
            </w:r>
          </w:p>
        </w:tc>
      </w:tr>
      <w:tr w:rsidR="00223861" w:rsidTr="001B5D2B">
        <w:tc>
          <w:tcPr>
            <w:tcW w:w="1768"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rPr>
                <w:color w:val="000000"/>
                <w:sz w:val="24"/>
                <w:szCs w:val="24"/>
              </w:rPr>
            </w:pPr>
            <w:r>
              <w:rPr>
                <w:rFonts w:hint="eastAsia"/>
                <w:color w:val="000000"/>
                <w:sz w:val="24"/>
                <w:szCs w:val="24"/>
              </w:rPr>
              <w:t>1,800,000.00</w:t>
            </w:r>
          </w:p>
        </w:tc>
        <w:tc>
          <w:tcPr>
            <w:tcW w:w="1769"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rPr>
                <w:color w:val="000000"/>
                <w:sz w:val="24"/>
                <w:szCs w:val="24"/>
              </w:rPr>
            </w:pPr>
            <w:r>
              <w:rPr>
                <w:rFonts w:hint="eastAsia"/>
                <w:color w:val="000000"/>
                <w:sz w:val="24"/>
                <w:szCs w:val="24"/>
              </w:rPr>
              <w:t xml:space="preserve">     8%</w:t>
            </w:r>
          </w:p>
        </w:tc>
        <w:tc>
          <w:tcPr>
            <w:tcW w:w="1770"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ind w:firstLineChars="100" w:firstLine="240"/>
              <w:rPr>
                <w:color w:val="000000"/>
                <w:sz w:val="24"/>
                <w:szCs w:val="24"/>
              </w:rPr>
            </w:pPr>
            <w:r>
              <w:rPr>
                <w:rFonts w:hint="eastAsia"/>
                <w:color w:val="000000"/>
                <w:sz w:val="24"/>
                <w:szCs w:val="24"/>
              </w:rPr>
              <w:t>136,000.00</w:t>
            </w:r>
          </w:p>
        </w:tc>
        <w:tc>
          <w:tcPr>
            <w:tcW w:w="1769"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rPr>
                <w:color w:val="000000"/>
                <w:sz w:val="24"/>
                <w:szCs w:val="24"/>
              </w:rPr>
            </w:pPr>
            <w:r>
              <w:rPr>
                <w:rFonts w:hint="eastAsia"/>
                <w:color w:val="000000"/>
                <w:sz w:val="24"/>
                <w:szCs w:val="24"/>
              </w:rPr>
              <w:t>1,800,000.00</w:t>
            </w:r>
          </w:p>
        </w:tc>
        <w:tc>
          <w:tcPr>
            <w:tcW w:w="1770"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ind w:firstLineChars="200" w:firstLine="480"/>
              <w:rPr>
                <w:color w:val="000000"/>
                <w:sz w:val="24"/>
                <w:szCs w:val="24"/>
              </w:rPr>
            </w:pPr>
            <w:r>
              <w:rPr>
                <w:rFonts w:hint="eastAsia"/>
                <w:color w:val="000000"/>
                <w:sz w:val="24"/>
                <w:szCs w:val="24"/>
              </w:rPr>
              <w:t>24%</w:t>
            </w:r>
          </w:p>
        </w:tc>
        <w:tc>
          <w:tcPr>
            <w:tcW w:w="1770" w:type="dxa"/>
            <w:tcBorders>
              <w:top w:val="single" w:sz="8" w:space="0" w:color="4BACC6"/>
              <w:left w:val="single" w:sz="8" w:space="0" w:color="4BACC6"/>
              <w:bottom w:val="single" w:sz="8" w:space="0" w:color="4BACC6"/>
              <w:right w:val="single" w:sz="8" w:space="0" w:color="4BACC6"/>
            </w:tcBorders>
            <w:shd w:val="clear" w:color="auto" w:fill="FFFFFF"/>
          </w:tcPr>
          <w:p w:rsidR="00223861" w:rsidRDefault="00A06C74">
            <w:pPr>
              <w:rPr>
                <w:color w:val="000000"/>
                <w:sz w:val="24"/>
                <w:szCs w:val="24"/>
              </w:rPr>
            </w:pPr>
            <w:r>
              <w:rPr>
                <w:rFonts w:hint="eastAsia"/>
                <w:color w:val="000000"/>
                <w:sz w:val="24"/>
                <w:szCs w:val="24"/>
              </w:rPr>
              <w:t>408,000.00</w:t>
            </w:r>
          </w:p>
        </w:tc>
      </w:tr>
      <w:tr w:rsidR="00223861" w:rsidTr="001B5D2B">
        <w:tc>
          <w:tcPr>
            <w:tcW w:w="1768"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rPr>
                <w:color w:val="000000"/>
                <w:sz w:val="24"/>
                <w:szCs w:val="24"/>
              </w:rPr>
            </w:pPr>
            <w:r>
              <w:rPr>
                <w:rFonts w:hint="eastAsia"/>
                <w:color w:val="000000"/>
                <w:sz w:val="24"/>
                <w:szCs w:val="24"/>
              </w:rPr>
              <w:t>1,800,000.00</w:t>
            </w:r>
          </w:p>
        </w:tc>
        <w:tc>
          <w:tcPr>
            <w:tcW w:w="1769"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ind w:firstLineChars="200" w:firstLine="480"/>
              <w:rPr>
                <w:color w:val="000000"/>
                <w:sz w:val="24"/>
                <w:szCs w:val="24"/>
              </w:rPr>
            </w:pPr>
            <w:r>
              <w:rPr>
                <w:rFonts w:hint="eastAsia"/>
                <w:color w:val="000000"/>
                <w:sz w:val="24"/>
                <w:szCs w:val="24"/>
              </w:rPr>
              <w:t>15%</w:t>
            </w:r>
          </w:p>
        </w:tc>
        <w:tc>
          <w:tcPr>
            <w:tcW w:w="1770"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ind w:firstLineChars="100" w:firstLine="240"/>
              <w:rPr>
                <w:color w:val="000000"/>
                <w:sz w:val="24"/>
                <w:szCs w:val="24"/>
              </w:rPr>
            </w:pPr>
            <w:r>
              <w:rPr>
                <w:rFonts w:hint="eastAsia"/>
                <w:color w:val="000000"/>
                <w:sz w:val="24"/>
                <w:szCs w:val="24"/>
              </w:rPr>
              <w:t>255,000.00</w:t>
            </w:r>
          </w:p>
        </w:tc>
        <w:tc>
          <w:tcPr>
            <w:tcW w:w="1769"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rPr>
                <w:color w:val="000000"/>
                <w:sz w:val="24"/>
                <w:szCs w:val="24"/>
              </w:rPr>
            </w:pPr>
            <w:r>
              <w:rPr>
                <w:rFonts w:hint="eastAsia"/>
                <w:color w:val="000000"/>
                <w:sz w:val="24"/>
                <w:szCs w:val="24"/>
              </w:rPr>
              <w:t>1,800,000.00</w:t>
            </w:r>
          </w:p>
        </w:tc>
        <w:tc>
          <w:tcPr>
            <w:tcW w:w="1770"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ind w:firstLineChars="200" w:firstLine="480"/>
              <w:rPr>
                <w:color w:val="000000"/>
                <w:sz w:val="24"/>
                <w:szCs w:val="24"/>
              </w:rPr>
            </w:pPr>
            <w:r>
              <w:rPr>
                <w:rFonts w:hint="eastAsia"/>
                <w:color w:val="000000"/>
                <w:sz w:val="24"/>
                <w:szCs w:val="24"/>
              </w:rPr>
              <w:t>45%</w:t>
            </w:r>
          </w:p>
        </w:tc>
        <w:tc>
          <w:tcPr>
            <w:tcW w:w="1770"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pPr>
              <w:rPr>
                <w:color w:val="000000"/>
                <w:sz w:val="24"/>
                <w:szCs w:val="24"/>
              </w:rPr>
            </w:pPr>
            <w:r>
              <w:rPr>
                <w:rFonts w:hint="eastAsia"/>
                <w:color w:val="000000"/>
                <w:sz w:val="24"/>
                <w:szCs w:val="24"/>
              </w:rPr>
              <w:t>765,000.00</w:t>
            </w:r>
          </w:p>
        </w:tc>
      </w:tr>
    </w:tbl>
    <w:p w:rsidR="00223861" w:rsidRDefault="00A06C74" w:rsidP="00846F9B">
      <w:pPr>
        <w:pStyle w:val="PlainText"/>
        <w:rPr>
          <w:rFonts w:ascii="PMingLiU" w:eastAsia="PMingLiU" w:hAnsi="PMingLiU" w:cs="PMingLiU"/>
        </w:rPr>
      </w:pPr>
      <w:r>
        <w:rPr>
          <w:rFonts w:ascii="MS Mincho" w:eastAsia="MS Mincho" w:hAnsi="MS Mincho" w:cs="MS Mincho" w:hint="eastAsia"/>
        </w:rPr>
        <w:t>基金演出分享利</w:t>
      </w:r>
      <w:r>
        <w:rPr>
          <w:rFonts w:ascii="PMingLiU" w:eastAsia="PMingLiU" w:hAnsi="PMingLiU" w:cs="PMingLiU" w:hint="eastAsia"/>
        </w:rPr>
        <w:t>润备忘录：认购者得</w:t>
      </w:r>
      <w:r>
        <w:rPr>
          <w:rFonts w:hint="eastAsia"/>
        </w:rPr>
        <w:t>70%</w:t>
      </w:r>
      <w:r>
        <w:rPr>
          <w:rFonts w:ascii="MS Mincho" w:eastAsia="MS Mincho" w:hAnsi="MS Mincho" w:cs="MS Mincho" w:hint="eastAsia"/>
        </w:rPr>
        <w:t>利</w:t>
      </w:r>
      <w:r>
        <w:rPr>
          <w:rFonts w:ascii="PMingLiU" w:eastAsia="PMingLiU" w:hAnsi="PMingLiU" w:cs="PMingLiU" w:hint="eastAsia"/>
        </w:rPr>
        <w:t>润分享基金会得</w:t>
      </w:r>
      <w:r>
        <w:rPr>
          <w:rFonts w:hint="eastAsia"/>
        </w:rPr>
        <w:t>30%</w:t>
      </w:r>
      <w:r>
        <w:rPr>
          <w:rFonts w:ascii="MS Mincho" w:eastAsia="MS Mincho" w:hAnsi="MS Mincho" w:cs="MS Mincho" w:hint="eastAsia"/>
        </w:rPr>
        <w:t>利</w:t>
      </w:r>
      <w:r>
        <w:rPr>
          <w:rFonts w:ascii="PMingLiU" w:eastAsia="PMingLiU" w:hAnsi="PMingLiU" w:cs="PMingLiU" w:hint="eastAsia"/>
        </w:rPr>
        <w:t>润分享，资产净值是根据所有基金会资产在估值价上的价值扣除所有基金负债的价值来确定。</w:t>
      </w:r>
    </w:p>
    <w:p w:rsidR="00846F9B" w:rsidRPr="00DF0429" w:rsidRDefault="00846F9B" w:rsidP="00846F9B">
      <w:pPr>
        <w:pStyle w:val="PlainText"/>
        <w:rPr>
          <w:sz w:val="24"/>
          <w:szCs w:val="24"/>
        </w:rPr>
      </w:pPr>
      <w:r w:rsidRPr="00DF0429">
        <w:rPr>
          <w:sz w:val="24"/>
          <w:szCs w:val="24"/>
        </w:rPr>
        <w:t xml:space="preserve">Fund Performance Fee Profit Sharing Memorandum: Subscribers get 70% profit sharing, whereby Management Fund Ltd. get 30% profit sharing.  </w:t>
      </w:r>
    </w:p>
    <w:p w:rsidR="00846F9B" w:rsidRPr="00DF0429" w:rsidRDefault="00846F9B" w:rsidP="00846F9B">
      <w:pPr>
        <w:pStyle w:val="PlainText"/>
        <w:rPr>
          <w:sz w:val="24"/>
          <w:szCs w:val="24"/>
        </w:rPr>
      </w:pPr>
      <w:r w:rsidRPr="00DF0429">
        <w:rPr>
          <w:sz w:val="24"/>
          <w:szCs w:val="24"/>
        </w:rPr>
        <w:t>The Net Asset Value (NAV) is determined by deducting the value of all fund liabilities based on the value of all fund assets from the valuation price.</w:t>
      </w:r>
    </w:p>
    <w:p w:rsidR="00846F9B" w:rsidRDefault="00846F9B" w:rsidP="00846F9B">
      <w:pPr>
        <w:pStyle w:val="PlainText"/>
      </w:pPr>
    </w:p>
    <w:p w:rsidR="00223861" w:rsidRDefault="00223861"/>
    <w:p w:rsidR="00223861" w:rsidRDefault="00223861"/>
    <w:p w:rsidR="00223861" w:rsidRDefault="00A06C74">
      <w:pPr>
        <w:rPr>
          <w:b/>
          <w:bCs/>
          <w:sz w:val="28"/>
          <w:szCs w:val="28"/>
        </w:rPr>
      </w:pPr>
      <w:r>
        <w:rPr>
          <w:noProof/>
          <w:lang w:eastAsia="en-US"/>
        </w:rPr>
        <w:drawing>
          <wp:inline distT="0" distB="0" distL="114300" distR="114300">
            <wp:extent cx="6597650" cy="2444115"/>
            <wp:effectExtent l="0" t="0" r="12700" b="13335"/>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pic:cNvPicPr>
                  </pic:nvPicPr>
                  <pic:blipFill>
                    <a:blip r:embed="rId9"/>
                    <a:stretch>
                      <a:fillRect/>
                    </a:stretch>
                  </pic:blipFill>
                  <pic:spPr>
                    <a:xfrm>
                      <a:off x="0" y="0"/>
                      <a:ext cx="6597650" cy="2444115"/>
                    </a:xfrm>
                    <a:prstGeom prst="rect">
                      <a:avLst/>
                    </a:prstGeom>
                    <a:noFill/>
                    <a:ln w="9525">
                      <a:noFill/>
                    </a:ln>
                  </pic:spPr>
                </pic:pic>
              </a:graphicData>
            </a:graphic>
          </wp:inline>
        </w:drawing>
      </w:r>
    </w:p>
    <w:p w:rsidR="00223861" w:rsidRDefault="00223861">
      <w:pPr>
        <w:rPr>
          <w:b/>
          <w:bCs/>
          <w:sz w:val="28"/>
          <w:szCs w:val="28"/>
        </w:rPr>
      </w:pPr>
    </w:p>
    <w:p w:rsidR="001B5D2B" w:rsidRDefault="001B5D2B">
      <w:pPr>
        <w:rPr>
          <w:b/>
          <w:bCs/>
          <w:sz w:val="28"/>
          <w:szCs w:val="28"/>
        </w:rPr>
      </w:pPr>
    </w:p>
    <w:p w:rsidR="00223861" w:rsidRDefault="00223861">
      <w:pPr>
        <w:rPr>
          <w:sz w:val="24"/>
          <w:szCs w:val="24"/>
        </w:rPr>
      </w:pPr>
    </w:p>
    <w:p w:rsidR="00223861" w:rsidRDefault="00223861">
      <w:pPr>
        <w:rPr>
          <w:sz w:val="24"/>
          <w:szCs w:val="24"/>
        </w:rPr>
      </w:pPr>
    </w:p>
    <w:tbl>
      <w:tblPr>
        <w:tblStyle w:val="TableGrid"/>
        <w:tblW w:w="10640" w:type="dxa"/>
        <w:tblLayout w:type="fixed"/>
        <w:tblLook w:val="04A0"/>
      </w:tblPr>
      <w:tblGrid>
        <w:gridCol w:w="10640"/>
      </w:tblGrid>
      <w:tr w:rsidR="00223861">
        <w:trPr>
          <w:trHeight w:val="617"/>
        </w:trPr>
        <w:tc>
          <w:tcPr>
            <w:tcW w:w="10640" w:type="dxa"/>
            <w:tcBorders>
              <w:top w:val="single" w:sz="8" w:space="0" w:color="4BACC6"/>
              <w:left w:val="single" w:sz="8" w:space="0" w:color="4BACC6"/>
              <w:bottom w:val="single" w:sz="8" w:space="0" w:color="4BACC6"/>
              <w:right w:val="single" w:sz="8" w:space="0" w:color="4BACC6"/>
            </w:tcBorders>
            <w:shd w:val="clear" w:color="auto" w:fill="B7DDE8"/>
          </w:tcPr>
          <w:p w:rsidR="00223861" w:rsidRDefault="00A06C74" w:rsidP="00A06C74">
            <w:pPr>
              <w:pStyle w:val="Heading3"/>
              <w:widowControl/>
              <w:shd w:val="clear" w:color="auto" w:fill="FFFFFF"/>
              <w:spacing w:before="225" w:beforeAutospacing="0" w:after="225" w:afterAutospacing="0" w:line="18" w:lineRule="atLeast"/>
              <w:ind w:firstLineChars="1500" w:firstLine="4066"/>
              <w:outlineLvl w:val="2"/>
              <w:rPr>
                <w:rFonts w:ascii="Helvetica" w:eastAsia="Helvetica" w:hAnsi="Helvetica" w:cs="Helvetica" w:hint="default"/>
                <w:bCs w:val="0"/>
                <w:color w:val="333333"/>
                <w:shd w:val="clear" w:color="auto" w:fill="FFFFFF"/>
              </w:rPr>
            </w:pPr>
            <w:r>
              <w:rPr>
                <w:rFonts w:ascii="Helvetica" w:eastAsia="Helvetica" w:hAnsi="Helvetica" w:cs="Helvetica"/>
                <w:bCs w:val="0"/>
                <w:color w:val="333333"/>
                <w:shd w:val="clear" w:color="auto" w:fill="FFFFFF"/>
              </w:rPr>
              <w:lastRenderedPageBreak/>
              <w:t>西王特钢</w:t>
            </w:r>
            <w:r>
              <w:rPr>
                <w:rFonts w:ascii="Helvetica" w:eastAsia="Helvetica" w:hAnsi="Helvetica" w:cs="Helvetica" w:hint="default"/>
                <w:bCs w:val="0"/>
                <w:color w:val="333333"/>
                <w:shd w:val="clear" w:color="auto" w:fill="FFFFFF"/>
              </w:rPr>
              <w:t>公司简介</w:t>
            </w:r>
          </w:p>
          <w:p w:rsidR="00223861" w:rsidRDefault="001B5D2B" w:rsidP="001B5D2B">
            <w:pPr>
              <w:jc w:val="center"/>
              <w:rPr>
                <w:color w:val="000000"/>
                <w:sz w:val="24"/>
                <w:szCs w:val="24"/>
              </w:rPr>
            </w:pPr>
            <w:r>
              <w:rPr>
                <w:b/>
                <w:sz w:val="32"/>
                <w:szCs w:val="32"/>
              </w:rPr>
              <w:t>Introduction</w:t>
            </w:r>
          </w:p>
        </w:tc>
      </w:tr>
    </w:tbl>
    <w:p w:rsidR="00223861" w:rsidRDefault="00223861">
      <w:pPr>
        <w:rPr>
          <w:sz w:val="24"/>
          <w:szCs w:val="24"/>
        </w:rPr>
      </w:pPr>
    </w:p>
    <w:tbl>
      <w:tblPr>
        <w:tblStyle w:val="TableGrid"/>
        <w:tblW w:w="10520" w:type="dxa"/>
        <w:tblLayout w:type="fixed"/>
        <w:tblLook w:val="04A0"/>
      </w:tblPr>
      <w:tblGrid>
        <w:gridCol w:w="10520"/>
      </w:tblGrid>
      <w:tr w:rsidR="00223861">
        <w:trPr>
          <w:trHeight w:val="8239"/>
        </w:trPr>
        <w:tc>
          <w:tcPr>
            <w:tcW w:w="10520" w:type="dxa"/>
          </w:tcPr>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t>西王特钢有限公司是座落于山东省以电弧炉炼钢的中国领先特钢生产商。公司拥有由炼钢到二次冶金、连铸及轧钢的一体化生产流程。</w:t>
            </w:r>
          </w:p>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t>公司的产品包括主要用于建筑及基建项目的普通钢产品，以及用于包括生产无缝钢管、轴承、齿轮、机械部件及焊接用钢盘条等多种应用的特种钢产品。</w:t>
            </w:r>
          </w:p>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t>作为以电弧炉为基础的钢铁制造商，公司具备灵活及高效能的钢铁制造技术，拥有同时制造普通钢坯及特种钢坯的能力，钢坯为公司普通钢产品的主要原材料，大幅减低公司对第三方供应普通钢坯的依赖。此外，公司透过持续的技术改进提高公司电弧炉的营运效率。</w:t>
            </w:r>
          </w:p>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t>公司拥有两套生产流程：(1)以废钢作为原材料，通过电弧炉产钢；(2)以铁矿石在烧结炉转化成烧结料后经高炉生产铁水，再由转炉制成钢。公司通过利用不同的原材料控制成本及产品组合，令生产更加灵活。</w:t>
            </w:r>
          </w:p>
          <w:p w:rsidR="00223861" w:rsidRDefault="00A06C74">
            <w:pPr>
              <w:pStyle w:val="NormalWeb"/>
              <w:widowControl/>
              <w:wordWrap w:val="0"/>
              <w:spacing w:beforeAutospacing="0" w:after="450" w:afterAutospacing="0" w:line="495" w:lineRule="atLeast"/>
              <w:rPr>
                <w:sz w:val="20"/>
                <w:szCs w:val="20"/>
              </w:rPr>
            </w:pPr>
            <w:r>
              <w:rPr>
                <w:rFonts w:ascii="Helvetica" w:eastAsia="Helvetica" w:hAnsi="Helvetica" w:cs="Helvetica"/>
                <w:color w:val="333333"/>
                <w:sz w:val="20"/>
                <w:szCs w:val="20"/>
                <w:shd w:val="clear" w:color="auto" w:fill="FFFFFF"/>
              </w:rPr>
              <w:t>目前，集团的电弧炉及转炉总设计炼钢年产能约为330万吨，而轧线总设计年产能为300万吨，高炉及烧结炉总设计年产能分别为210万吨及370万吨。</w:t>
            </w:r>
          </w:p>
          <w:p w:rsidR="00223861" w:rsidRDefault="00A06C74">
            <w:pPr>
              <w:pStyle w:val="Heading3"/>
              <w:widowControl/>
              <w:shd w:val="clear" w:color="auto" w:fill="FFFFFF"/>
              <w:spacing w:before="225" w:beforeAutospacing="0" w:after="225" w:afterAutospacing="0" w:line="18" w:lineRule="atLeast"/>
              <w:outlineLvl w:val="2"/>
              <w:rPr>
                <w:rFonts w:ascii="Helvetica" w:eastAsia="Helvetica" w:hAnsi="Helvetica" w:cs="Helvetica" w:hint="default"/>
                <w:color w:val="333333"/>
                <w:sz w:val="20"/>
                <w:szCs w:val="20"/>
              </w:rPr>
            </w:pPr>
            <w:r>
              <w:rPr>
                <w:rFonts w:ascii="Helvetica" w:eastAsia="Helvetica" w:hAnsi="Helvetica" w:cs="Helvetica" w:hint="default"/>
                <w:color w:val="333333"/>
                <w:sz w:val="20"/>
                <w:szCs w:val="20"/>
                <w:shd w:val="clear" w:color="auto" w:fill="FFFFFF"/>
              </w:rPr>
              <w:t>发展历程</w:t>
            </w:r>
          </w:p>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t>2004年6月，西王特钢以其第一条棒材轧制线开始生产普通钢产品，总年设计产能约达500000吨。</w:t>
            </w:r>
          </w:p>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t>2006年，西王特钢生产的热轧棒材荣获中国国家质量监督检验检疫总局颁发国家免检产品荣誉称号；西王特钢生产的热轧棒材荣获山东省质量技术监督局及山东省名牌战略推进委员会联合颁发「山东名牌」荣誉称号。</w:t>
            </w:r>
          </w:p>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lastRenderedPageBreak/>
              <w:t>2007年8月，西王特钢第二条棒材轧制线投产，总年设计产能约达500000吨。</w:t>
            </w:r>
          </w:p>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t>2009年2月，西王特钢取得ISO9001质量管理认证、ISO14001环境管理认证及GB/T28001-2001职业健康安全管理认证。</w:t>
            </w:r>
          </w:p>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t>2009年，西王特钢的金属线材生产线投产，总年设计产能达600000吨；第一座电弧炉投产，总年设计产能约达500000吨。</w:t>
            </w:r>
          </w:p>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t>2010年3月，西王特钢被山东省政府列位重点调度及调研的十家钢铁企业之一。6月，西王特钢开始使用适用于焊接用钢的融轧技术。7月，西王特钢成功试产特种钢圆坯，标志着产品从主要侧重于建材转向关注机械加工材料。11月，西王特钢「自呼吸式蓄热燃烧技术在加热炉的开发与应用」项目荣获山东省科学技术厅颁发「高新技术成果」荣誉。12月，西王特钢生产的热轧棒材荣获山东省质量技术监督局及山东省名牌战略推进委员会联合颁发「山东名牌」荣誉称号。</w:t>
            </w:r>
          </w:p>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t>2011年1月，西王特钢第二座电弧炉投产，总年设计产能约达500</w:t>
            </w:r>
            <w:proofErr w:type="gramStart"/>
            <w:r>
              <w:rPr>
                <w:rFonts w:ascii="Helvetica" w:eastAsia="Helvetica" w:hAnsi="Helvetica" w:cs="Helvetica"/>
                <w:color w:val="333333"/>
                <w:sz w:val="20"/>
                <w:szCs w:val="20"/>
                <w:shd w:val="clear" w:color="auto" w:fill="FFFFFF"/>
              </w:rPr>
              <w:t>,000吨</w:t>
            </w:r>
            <w:proofErr w:type="gramEnd"/>
            <w:r>
              <w:rPr>
                <w:rFonts w:ascii="Helvetica" w:eastAsia="Helvetica" w:hAnsi="Helvetica" w:cs="Helvetica"/>
                <w:color w:val="333333"/>
                <w:sz w:val="20"/>
                <w:szCs w:val="20"/>
                <w:shd w:val="clear" w:color="auto" w:fill="FFFFFF"/>
              </w:rPr>
              <w:t>。</w:t>
            </w:r>
          </w:p>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t>2012年2月23日，西王特钢于香港联交所上市。</w:t>
            </w:r>
          </w:p>
          <w:p w:rsidR="00223861" w:rsidRDefault="00A06C74">
            <w:pPr>
              <w:pStyle w:val="NormalWeb"/>
              <w:widowControl/>
              <w:wordWrap w:val="0"/>
              <w:spacing w:beforeAutospacing="0" w:after="450" w:afterAutospacing="0" w:line="495" w:lineRule="atLeast"/>
              <w:rPr>
                <w:sz w:val="20"/>
                <w:szCs w:val="20"/>
              </w:rPr>
            </w:pPr>
            <w:r>
              <w:rPr>
                <w:rFonts w:ascii="Helvetica" w:eastAsia="Helvetica" w:hAnsi="Helvetica" w:cs="Helvetica"/>
                <w:color w:val="333333"/>
                <w:sz w:val="20"/>
                <w:szCs w:val="20"/>
                <w:shd w:val="clear" w:color="auto" w:fill="FFFFFF"/>
              </w:rPr>
              <w:t>2014年，西王特钢与洛阳轴承研究所订立技术合作协议，并与中国科学院金属研究所订立研发合作的战略性框架协议。</w:t>
            </w:r>
          </w:p>
          <w:p w:rsidR="00223861" w:rsidRDefault="00A06C74">
            <w:pPr>
              <w:pStyle w:val="Heading3"/>
              <w:widowControl/>
              <w:shd w:val="clear" w:color="auto" w:fill="FFFFFF"/>
              <w:spacing w:before="225" w:beforeAutospacing="0" w:after="225" w:afterAutospacing="0" w:line="18" w:lineRule="atLeast"/>
              <w:outlineLvl w:val="2"/>
              <w:rPr>
                <w:rFonts w:ascii="Helvetica" w:eastAsia="Helvetica" w:hAnsi="Helvetica" w:cs="Helvetica" w:hint="default"/>
                <w:color w:val="333333"/>
                <w:sz w:val="20"/>
                <w:szCs w:val="20"/>
              </w:rPr>
            </w:pPr>
            <w:r>
              <w:rPr>
                <w:rFonts w:ascii="Helvetica" w:eastAsia="Helvetica" w:hAnsi="Helvetica" w:cs="Helvetica" w:hint="default"/>
                <w:color w:val="333333"/>
                <w:sz w:val="20"/>
                <w:szCs w:val="20"/>
                <w:shd w:val="clear" w:color="auto" w:fill="FFFFFF"/>
              </w:rPr>
              <w:t>盈利模式</w:t>
            </w:r>
          </w:p>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t>公司按产品将业务划分为：普通钢、特钢、商品贸易和副产品销售。</w:t>
            </w:r>
          </w:p>
          <w:p w:rsidR="00223861" w:rsidRDefault="00A06C74">
            <w:pPr>
              <w:pStyle w:val="NormalWeb"/>
              <w:widowControl/>
              <w:wordWrap w:val="0"/>
              <w:spacing w:beforeAutospacing="0" w:after="602" w:afterAutospacing="0" w:line="495" w:lineRule="atLeast"/>
              <w:rPr>
                <w:sz w:val="20"/>
                <w:szCs w:val="20"/>
              </w:rPr>
            </w:pPr>
            <w:r>
              <w:rPr>
                <w:rStyle w:val="Strong"/>
                <w:rFonts w:ascii="Helvetica" w:eastAsia="Helvetica" w:hAnsi="Helvetica" w:cs="Helvetica"/>
                <w:color w:val="333333"/>
                <w:sz w:val="20"/>
                <w:szCs w:val="20"/>
                <w:shd w:val="clear" w:color="auto" w:fill="FFFFFF"/>
              </w:rPr>
              <w:t>普通钢</w:t>
            </w:r>
          </w:p>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t>普通钢产品包括棒材和线材，主要用于建筑及基建项目。2017年上半年，公司销售普通钢占期内钢材销售总额的73.0%，</w:t>
            </w:r>
            <w:r>
              <w:rPr>
                <w:rFonts w:ascii="Helvetica" w:eastAsia="Helvetica" w:hAnsi="Helvetica" w:cs="Helvetica"/>
                <w:color w:val="333333"/>
                <w:sz w:val="20"/>
                <w:szCs w:val="20"/>
                <w:shd w:val="clear" w:color="auto" w:fill="FFFFFF"/>
              </w:rPr>
              <w:lastRenderedPageBreak/>
              <w:t>销售额达到32.53亿元。</w:t>
            </w:r>
          </w:p>
          <w:p w:rsidR="00223861" w:rsidRDefault="00A06C74">
            <w:pPr>
              <w:pStyle w:val="NormalWeb"/>
              <w:widowControl/>
              <w:wordWrap w:val="0"/>
              <w:spacing w:beforeAutospacing="0" w:after="602" w:afterAutospacing="0" w:line="495" w:lineRule="atLeast"/>
              <w:rPr>
                <w:sz w:val="20"/>
                <w:szCs w:val="20"/>
              </w:rPr>
            </w:pPr>
            <w:r>
              <w:rPr>
                <w:rStyle w:val="Strong"/>
                <w:rFonts w:ascii="Helvetica" w:eastAsia="Helvetica" w:hAnsi="Helvetica" w:cs="Helvetica"/>
                <w:color w:val="333333"/>
                <w:sz w:val="20"/>
                <w:szCs w:val="20"/>
                <w:shd w:val="clear" w:color="auto" w:fill="FFFFFF"/>
              </w:rPr>
              <w:t>特钢</w:t>
            </w:r>
          </w:p>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t>特钢产品主要包括用于机械加工和设备制造的优质碳素结构钢、用于机械的合金结构钢、用于汽车制造业的轴承钢，以及用于交通运输、海洋工程及武器装备等领域的钢锭等。</w:t>
            </w:r>
          </w:p>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t>2017年上半年，公司销售特钢占期内钢材销售总额的27.0%，销售额达到12.02亿元。</w:t>
            </w:r>
          </w:p>
          <w:p w:rsidR="00223861" w:rsidRDefault="00A06C74">
            <w:pPr>
              <w:pStyle w:val="NormalWeb"/>
              <w:widowControl/>
              <w:wordWrap w:val="0"/>
              <w:spacing w:beforeAutospacing="0" w:after="602" w:afterAutospacing="0" w:line="495" w:lineRule="atLeast"/>
              <w:rPr>
                <w:sz w:val="20"/>
                <w:szCs w:val="20"/>
              </w:rPr>
            </w:pPr>
            <w:r>
              <w:rPr>
                <w:rStyle w:val="Strong"/>
                <w:rFonts w:ascii="Helvetica" w:eastAsia="Helvetica" w:hAnsi="Helvetica" w:cs="Helvetica"/>
                <w:color w:val="333333"/>
                <w:sz w:val="20"/>
                <w:szCs w:val="20"/>
                <w:shd w:val="clear" w:color="auto" w:fill="FFFFFF"/>
              </w:rPr>
              <w:t>商品贸易</w:t>
            </w:r>
          </w:p>
          <w:p w:rsidR="00223861" w:rsidRDefault="00A06C74">
            <w:pPr>
              <w:pStyle w:val="NormalWeb"/>
              <w:widowControl/>
              <w:wordWrap w:val="0"/>
              <w:spacing w:beforeAutospacing="0" w:after="602" w:afterAutospacing="0" w:line="495" w:lineRule="atLeast"/>
              <w:rPr>
                <w:sz w:val="20"/>
                <w:szCs w:val="20"/>
              </w:rPr>
            </w:pPr>
            <w:r>
              <w:rPr>
                <w:rFonts w:ascii="Helvetica" w:eastAsia="Helvetica" w:hAnsi="Helvetica" w:cs="Helvetica"/>
                <w:color w:val="333333"/>
                <w:sz w:val="20"/>
                <w:szCs w:val="20"/>
                <w:shd w:val="clear" w:color="auto" w:fill="FFFFFF"/>
              </w:rPr>
              <w:t>商品贸易主要包括铁矿粉、球团矿、钢坯及焦炭等。2017年上半年，公司的商品贸易业务营收为9.76亿元。</w:t>
            </w:r>
          </w:p>
          <w:p w:rsidR="00223861" w:rsidRDefault="00A06C74">
            <w:pPr>
              <w:pStyle w:val="NormalWeb"/>
              <w:widowControl/>
              <w:wordWrap w:val="0"/>
              <w:spacing w:beforeAutospacing="0" w:after="602" w:afterAutospacing="0" w:line="495" w:lineRule="atLeast"/>
              <w:rPr>
                <w:sz w:val="20"/>
                <w:szCs w:val="20"/>
              </w:rPr>
            </w:pPr>
            <w:r>
              <w:rPr>
                <w:rStyle w:val="Strong"/>
                <w:rFonts w:ascii="Helvetica" w:eastAsia="Helvetica" w:hAnsi="Helvetica" w:cs="Helvetica"/>
                <w:color w:val="333333"/>
                <w:sz w:val="20"/>
                <w:szCs w:val="20"/>
                <w:shd w:val="clear" w:color="auto" w:fill="FFFFFF"/>
              </w:rPr>
              <w:t>副产品销售</w:t>
            </w:r>
          </w:p>
          <w:p w:rsidR="00223861" w:rsidRDefault="00A06C74">
            <w:pPr>
              <w:pStyle w:val="NormalWeb"/>
              <w:widowControl/>
              <w:wordWrap w:val="0"/>
              <w:spacing w:beforeAutospacing="0" w:after="450" w:afterAutospacing="0" w:line="495" w:lineRule="atLeast"/>
              <w:rPr>
                <w:sz w:val="20"/>
                <w:szCs w:val="20"/>
              </w:rPr>
            </w:pPr>
            <w:r>
              <w:rPr>
                <w:rFonts w:ascii="Helvetica" w:eastAsia="Helvetica" w:hAnsi="Helvetica" w:cs="Helvetica"/>
                <w:color w:val="333333"/>
                <w:sz w:val="20"/>
                <w:szCs w:val="20"/>
                <w:shd w:val="clear" w:color="auto" w:fill="FFFFFF"/>
              </w:rPr>
              <w:t>副产品主要包括在生产钢材过程中所产生的钢渣、蒸汽及电力等。2017年上半年，公司的副产品销售业务营收为1.61亿元。</w:t>
            </w:r>
          </w:p>
          <w:p w:rsidR="00846F9B" w:rsidRDefault="00846F9B"/>
          <w:p w:rsidR="00846F9B" w:rsidRDefault="00846F9B"/>
        </w:tc>
      </w:tr>
    </w:tbl>
    <w:tbl>
      <w:tblPr>
        <w:tblStyle w:val="TableGrid"/>
        <w:tblpPr w:leftFromText="180" w:rightFromText="180" w:vertAnchor="text" w:horzAnchor="page" w:tblpX="855" w:tblpY="936"/>
        <w:tblOverlap w:val="never"/>
        <w:tblW w:w="10460" w:type="dxa"/>
        <w:tblLayout w:type="fixed"/>
        <w:tblLook w:val="04A0"/>
      </w:tblPr>
      <w:tblGrid>
        <w:gridCol w:w="10460"/>
      </w:tblGrid>
      <w:tr w:rsidR="00223861">
        <w:trPr>
          <w:trHeight w:val="3037"/>
        </w:trPr>
        <w:tc>
          <w:tcPr>
            <w:tcW w:w="10460" w:type="dxa"/>
          </w:tcPr>
          <w:p w:rsidR="00223861" w:rsidRDefault="00A06C74">
            <w:pPr>
              <w:ind w:left="90"/>
              <w:rPr>
                <w:b/>
                <w:sz w:val="15"/>
                <w:szCs w:val="15"/>
              </w:rPr>
            </w:pPr>
            <w:r>
              <w:rPr>
                <w:rFonts w:hint="eastAsia"/>
                <w:b/>
                <w:sz w:val="15"/>
                <w:szCs w:val="15"/>
              </w:rPr>
              <w:lastRenderedPageBreak/>
              <w:t>风险因素</w:t>
            </w:r>
          </w:p>
          <w:p w:rsidR="00223861" w:rsidRDefault="00A06C74">
            <w:pPr>
              <w:ind w:left="90"/>
              <w:rPr>
                <w:sz w:val="15"/>
                <w:szCs w:val="15"/>
              </w:rPr>
            </w:pPr>
            <w:r>
              <w:rPr>
                <w:rFonts w:hint="eastAsia"/>
                <w:sz w:val="15"/>
                <w:szCs w:val="15"/>
              </w:rPr>
              <w:t>这部分风险是基于风险发生的可能性与风险的影响相结合的评估。没有保证或保证不同风险的重要性不会改变或其他风险不会增加。</w:t>
            </w:r>
          </w:p>
          <w:p w:rsidR="00223861" w:rsidRDefault="00A06C74">
            <w:pPr>
              <w:ind w:left="90"/>
              <w:rPr>
                <w:sz w:val="15"/>
                <w:szCs w:val="15"/>
              </w:rPr>
            </w:pPr>
            <w:r>
              <w:rPr>
                <w:rFonts w:hint="eastAsia"/>
                <w:sz w:val="15"/>
                <w:szCs w:val="15"/>
              </w:rPr>
              <w:t>在投资之前，您应该考虑或寻求第三方咨询该投资是否是一个适合您作为投资人的投资。与此投资相关的风险以及其他更多的是在管理人和该基金的控制范围以外。</w:t>
            </w:r>
          </w:p>
          <w:p w:rsidR="00223861" w:rsidRDefault="00A06C74">
            <w:pPr>
              <w:ind w:left="90"/>
              <w:rPr>
                <w:b/>
                <w:sz w:val="15"/>
                <w:szCs w:val="15"/>
              </w:rPr>
            </w:pPr>
            <w:r>
              <w:rPr>
                <w:rFonts w:hint="eastAsia"/>
                <w:b/>
                <w:sz w:val="15"/>
                <w:szCs w:val="15"/>
              </w:rPr>
              <w:t>政治风险</w:t>
            </w:r>
          </w:p>
          <w:p w:rsidR="00223861" w:rsidRDefault="00A06C74">
            <w:pPr>
              <w:ind w:left="90"/>
              <w:rPr>
                <w:sz w:val="15"/>
                <w:szCs w:val="15"/>
              </w:rPr>
            </w:pPr>
            <w:r>
              <w:rPr>
                <w:rFonts w:hint="eastAsia"/>
                <w:sz w:val="15"/>
                <w:szCs w:val="15"/>
              </w:rPr>
              <w:t>该基金的表现可能受到经济和市场条件的变化、政治发展、军事冲突和内乱等不确定因素，政府政策的变化对资本转移的限制以及法律、监管和税收要求方面的影响。</w:t>
            </w:r>
          </w:p>
          <w:p w:rsidR="00223861" w:rsidRDefault="00A06C74">
            <w:pPr>
              <w:ind w:left="90"/>
              <w:rPr>
                <w:b/>
                <w:sz w:val="15"/>
                <w:szCs w:val="15"/>
              </w:rPr>
            </w:pPr>
            <w:r>
              <w:rPr>
                <w:rFonts w:hint="eastAsia"/>
                <w:b/>
                <w:sz w:val="15"/>
                <w:szCs w:val="15"/>
              </w:rPr>
              <w:t>货币风险</w:t>
            </w:r>
          </w:p>
          <w:p w:rsidR="00223861" w:rsidRDefault="00A06C74">
            <w:pPr>
              <w:ind w:left="90"/>
              <w:rPr>
                <w:sz w:val="15"/>
                <w:szCs w:val="15"/>
              </w:rPr>
            </w:pPr>
            <w:r>
              <w:rPr>
                <w:rFonts w:hint="eastAsia"/>
                <w:sz w:val="15"/>
                <w:szCs w:val="15"/>
              </w:rPr>
              <w:t>该基金可以投资以该基金基础货币以外的货币计价的资产。因此，由于不同货币的汇率波动，股东投资的价值可能受到有利或不利的影响，因为基金基础货币与指定货币之间的汇率变动可能导致以所确定的货币表示的股份价值。</w:t>
            </w:r>
          </w:p>
          <w:p w:rsidR="00223861" w:rsidRDefault="00A06C74">
            <w:pPr>
              <w:ind w:left="90"/>
              <w:rPr>
                <w:b/>
                <w:sz w:val="15"/>
                <w:szCs w:val="15"/>
              </w:rPr>
            </w:pPr>
            <w:r>
              <w:rPr>
                <w:rFonts w:hint="eastAsia"/>
                <w:b/>
                <w:sz w:val="15"/>
                <w:szCs w:val="15"/>
              </w:rPr>
              <w:t>大幅买回的可能产生的影响</w:t>
            </w:r>
          </w:p>
          <w:p w:rsidR="00223861" w:rsidRDefault="00A06C74">
            <w:pPr>
              <w:ind w:left="90"/>
              <w:rPr>
                <w:sz w:val="15"/>
                <w:szCs w:val="15"/>
              </w:rPr>
            </w:pPr>
            <w:r>
              <w:rPr>
                <w:rFonts w:hint="eastAsia"/>
                <w:sz w:val="15"/>
                <w:szCs w:val="15"/>
              </w:rPr>
              <w:t>参与股份的大幅买回可能要求该基金更快速地清算其头寸以筹集资金买回所需的现金。某些证券流动性不足可能导致该基金很难以有利的条件清算头寸，这可能导致基金资产净值的损失或减少。当该基金决定为此目的而清算证券投资组合时，该基金获准借入与买回股份有关的所需款项。该基金也被授权将抵押品作为抵押品用于偿还这些贷款，在这种情况下，持续的股东将承担基金资产价值随后出现下跌的风险。</w:t>
            </w:r>
          </w:p>
          <w:p w:rsidR="00846F9B" w:rsidRDefault="00846F9B" w:rsidP="00846F9B">
            <w:pPr>
              <w:pStyle w:val="PlainText"/>
            </w:pPr>
          </w:p>
          <w:p w:rsidR="00846F9B" w:rsidRPr="00461AB5" w:rsidRDefault="00846F9B" w:rsidP="00846F9B">
            <w:pPr>
              <w:pStyle w:val="PlainText"/>
              <w:rPr>
                <w:b/>
              </w:rPr>
            </w:pPr>
            <w:r>
              <w:rPr>
                <w:b/>
              </w:rPr>
              <w:t>RISKS FACTORS</w:t>
            </w:r>
          </w:p>
          <w:p w:rsidR="00846F9B" w:rsidRDefault="00846F9B" w:rsidP="00846F9B">
            <w:pPr>
              <w:pStyle w:val="PlainText"/>
            </w:pPr>
            <w:r>
              <w:t>This section of risks has been based in an assessment of a combination of the probability of the risk occurring and the impact of the risk if it did occur.  There is no guarantee of assurance that the importance of different risks will not change or that other risks will not arise.</w:t>
            </w:r>
          </w:p>
          <w:p w:rsidR="00846F9B" w:rsidRDefault="00846F9B" w:rsidP="00846F9B">
            <w:pPr>
              <w:pStyle w:val="PlainText"/>
            </w:pPr>
            <w:r>
              <w:t>Before investing, you should consider or seek third party advice whether this investment is a suitable investment for you as an investor.  There are risks associated with this investment and many of which are outside of the control of the Manager and the fund.</w:t>
            </w:r>
          </w:p>
          <w:p w:rsidR="00846F9B" w:rsidRDefault="00846F9B" w:rsidP="00846F9B">
            <w:pPr>
              <w:pStyle w:val="PlainText"/>
            </w:pPr>
          </w:p>
          <w:p w:rsidR="00846F9B" w:rsidRDefault="00846F9B" w:rsidP="00846F9B">
            <w:pPr>
              <w:pStyle w:val="PlainText"/>
              <w:rPr>
                <w:b/>
              </w:rPr>
            </w:pPr>
            <w:r>
              <w:rPr>
                <w:b/>
              </w:rPr>
              <w:t>POLITICAL RISKS</w:t>
            </w:r>
          </w:p>
          <w:p w:rsidR="00846F9B" w:rsidRDefault="00846F9B" w:rsidP="00846F9B">
            <w:pPr>
              <w:pStyle w:val="PlainText"/>
            </w:pPr>
            <w:r w:rsidRPr="006C57E1">
              <w:t>The performance of a Fund may be affected by changes in economic and market conditions, uncertainties such as political developments, military conflict and civil unrest, changes in government policies, the imposition of restrictions on the transfer of capital and in legal, regulatory and tax requirements.</w:t>
            </w:r>
          </w:p>
          <w:p w:rsidR="00846F9B" w:rsidRDefault="00846F9B" w:rsidP="00846F9B">
            <w:pPr>
              <w:pStyle w:val="PlainText"/>
            </w:pPr>
          </w:p>
          <w:p w:rsidR="00846F9B" w:rsidRDefault="00846F9B" w:rsidP="00846F9B">
            <w:pPr>
              <w:pStyle w:val="PlainText"/>
              <w:rPr>
                <w:b/>
              </w:rPr>
            </w:pPr>
            <w:r>
              <w:rPr>
                <w:b/>
              </w:rPr>
              <w:t>CURRENCY RISKS</w:t>
            </w:r>
          </w:p>
          <w:p w:rsidR="00846F9B" w:rsidRDefault="00846F9B" w:rsidP="00846F9B">
            <w:pPr>
              <w:pStyle w:val="PlainText"/>
            </w:pPr>
            <w:r>
              <w:t>A Fund may invest in assets that are denominated in a currency other than the Fun’s Base Currency.  Therefore, due to exchange rate fluctuation in different currencies, the value of Shareholder’s investment may be affected favorably or unfavorably, as changes in the exchange rate between the Base Currency of a Fund and the designated currency may lead to a depreciation of the value of such Shares as expressed in the designated currency.</w:t>
            </w:r>
          </w:p>
          <w:p w:rsidR="00846F9B" w:rsidRDefault="00846F9B" w:rsidP="00846F9B">
            <w:pPr>
              <w:pStyle w:val="PlainText"/>
            </w:pPr>
          </w:p>
          <w:p w:rsidR="00846F9B" w:rsidRDefault="00846F9B" w:rsidP="00846F9B">
            <w:pPr>
              <w:pStyle w:val="PlainText"/>
            </w:pPr>
          </w:p>
          <w:p w:rsidR="00846F9B" w:rsidRDefault="00846F9B" w:rsidP="00846F9B">
            <w:pPr>
              <w:pStyle w:val="PlainText"/>
              <w:rPr>
                <w:b/>
              </w:rPr>
            </w:pPr>
            <w:r>
              <w:rPr>
                <w:b/>
              </w:rPr>
              <w:t>POSSIBLE EFFECT OF SUBSTANTIAL REDEMPTIONS</w:t>
            </w:r>
          </w:p>
          <w:p w:rsidR="00846F9B" w:rsidRPr="00846F9B" w:rsidRDefault="00846F9B" w:rsidP="00846F9B">
            <w:pPr>
              <w:pStyle w:val="PlainText"/>
            </w:pPr>
            <w:r>
              <w:t>Substantial redemption of Participating Shares could require the Fund to liquidate its positions more rapidly than otherwise desired in order to raise the cash necessary to find the redemptions.  Liquidity in certain securities could make it difficult for the Fund to liquidate positions on favorable terms, which could result in losses or a decrease in the Net Asset of the Fund.  The Fund is permitted to borrow cash necessary to make payments in condition with redemption of Shares when it determines that it would not be advisable to liquidate portfolio assets for that purpose.  The Fund is also authorized to pledge portfolio assets as collateral security for the repayment of such loans.  In these circumstances, the continuing Shareholders will bear the risk of any subsequent decline in the value of the Fund’s assets.</w:t>
            </w:r>
          </w:p>
        </w:tc>
      </w:tr>
    </w:tbl>
    <w:p w:rsidR="00223861" w:rsidRDefault="00223861">
      <w:pPr>
        <w:rPr>
          <w:sz w:val="24"/>
          <w:szCs w:val="24"/>
        </w:rPr>
      </w:pPr>
    </w:p>
    <w:sectPr w:rsidR="00223861" w:rsidSect="00223861">
      <w:pgSz w:w="11906" w:h="16838"/>
      <w:pgMar w:top="840" w:right="706" w:bottom="1440" w:left="800" w:header="720" w:footer="13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Times New Roman"/>
    <w:charset w:val="00"/>
    <w:family w:val="auto"/>
    <w:pitch w:val="default"/>
    <w:sig w:usb0="00000001" w:usb1="4000207B" w:usb2="00000000" w:usb3="00000000" w:csb0="2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4202C4"/>
    <w:lvl w:ilvl="0">
      <w:start w:val="1"/>
      <w:numFmt w:val="decimal"/>
      <w:lvlText w:val="%1."/>
      <w:lvlJc w:val="left"/>
      <w:pPr>
        <w:tabs>
          <w:tab w:val="num" w:pos="1800"/>
        </w:tabs>
        <w:ind w:left="1800" w:hanging="360"/>
      </w:pPr>
    </w:lvl>
  </w:abstractNum>
  <w:abstractNum w:abstractNumId="1">
    <w:nsid w:val="FFFFFF7D"/>
    <w:multiLevelType w:val="singleLevel"/>
    <w:tmpl w:val="A6BC2248"/>
    <w:lvl w:ilvl="0">
      <w:start w:val="1"/>
      <w:numFmt w:val="decimal"/>
      <w:lvlText w:val="%1."/>
      <w:lvlJc w:val="left"/>
      <w:pPr>
        <w:tabs>
          <w:tab w:val="num" w:pos="1440"/>
        </w:tabs>
        <w:ind w:left="14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14C1152"/>
    <w:rsid w:val="0017182A"/>
    <w:rsid w:val="001B5D2B"/>
    <w:rsid w:val="00223861"/>
    <w:rsid w:val="00283AB0"/>
    <w:rsid w:val="00320F68"/>
    <w:rsid w:val="00846F9B"/>
    <w:rsid w:val="00A06C74"/>
    <w:rsid w:val="00D244C9"/>
    <w:rsid w:val="00F1459F"/>
    <w:rsid w:val="060077D3"/>
    <w:rsid w:val="09C45CB0"/>
    <w:rsid w:val="0A004A38"/>
    <w:rsid w:val="0DA134CF"/>
    <w:rsid w:val="1E603F19"/>
    <w:rsid w:val="26D253E7"/>
    <w:rsid w:val="30B223D9"/>
    <w:rsid w:val="35E473E6"/>
    <w:rsid w:val="37F12C5B"/>
    <w:rsid w:val="3DB82F35"/>
    <w:rsid w:val="4B3E43E3"/>
    <w:rsid w:val="59E7087A"/>
    <w:rsid w:val="714C1152"/>
    <w:rsid w:val="73911FDD"/>
    <w:rsid w:val="75A75598"/>
    <w:rsid w:val="7BC008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861"/>
    <w:rPr>
      <w:rFonts w:asciiTheme="minorHAnsi" w:eastAsiaTheme="minorEastAsia" w:hAnsiTheme="minorHAnsi" w:cstheme="minorBidi"/>
      <w:lang w:eastAsia="zh-CN"/>
    </w:rPr>
  </w:style>
  <w:style w:type="paragraph" w:styleId="Heading1">
    <w:name w:val="heading 1"/>
    <w:next w:val="Normal"/>
    <w:qFormat/>
    <w:rsid w:val="00223861"/>
    <w:pPr>
      <w:spacing w:beforeAutospacing="1" w:after="0" w:afterAutospacing="1"/>
      <w:outlineLvl w:val="0"/>
    </w:pPr>
    <w:rPr>
      <w:rFonts w:ascii="SimSun" w:hAnsi="SimSun" w:hint="eastAsia"/>
      <w:b/>
      <w:bCs/>
      <w:kern w:val="44"/>
      <w:sz w:val="48"/>
      <w:szCs w:val="48"/>
      <w:lang w:eastAsia="zh-CN"/>
    </w:rPr>
  </w:style>
  <w:style w:type="paragraph" w:styleId="Heading3">
    <w:name w:val="heading 3"/>
    <w:next w:val="Normal"/>
    <w:unhideWhenUsed/>
    <w:qFormat/>
    <w:rsid w:val="00223861"/>
    <w:pPr>
      <w:spacing w:beforeAutospacing="1" w:after="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3861"/>
    <w:pPr>
      <w:tabs>
        <w:tab w:val="center" w:pos="4153"/>
        <w:tab w:val="right" w:pos="8306"/>
      </w:tabs>
      <w:snapToGrid w:val="0"/>
    </w:pPr>
    <w:rPr>
      <w:sz w:val="18"/>
      <w:szCs w:val="18"/>
    </w:rPr>
  </w:style>
  <w:style w:type="paragraph" w:styleId="Header">
    <w:name w:val="header"/>
    <w:basedOn w:val="Normal"/>
    <w:qFormat/>
    <w:rsid w:val="00223861"/>
    <w:pPr>
      <w:tabs>
        <w:tab w:val="center" w:pos="4153"/>
        <w:tab w:val="right" w:pos="8306"/>
      </w:tabs>
      <w:snapToGrid w:val="0"/>
    </w:pPr>
    <w:rPr>
      <w:sz w:val="18"/>
      <w:szCs w:val="18"/>
    </w:rPr>
  </w:style>
  <w:style w:type="paragraph" w:styleId="NormalWeb">
    <w:name w:val="Normal (Web)"/>
    <w:rsid w:val="00223861"/>
    <w:pPr>
      <w:spacing w:beforeAutospacing="1" w:after="0" w:afterAutospacing="1"/>
    </w:pPr>
    <w:rPr>
      <w:sz w:val="24"/>
      <w:szCs w:val="24"/>
      <w:lang w:eastAsia="zh-CN"/>
    </w:rPr>
  </w:style>
  <w:style w:type="character" w:styleId="Hyperlink">
    <w:name w:val="Hyperlink"/>
    <w:basedOn w:val="DefaultParagraphFont"/>
    <w:rsid w:val="00223861"/>
    <w:rPr>
      <w:color w:val="0000FF"/>
      <w:u w:val="single"/>
    </w:rPr>
  </w:style>
  <w:style w:type="character" w:styleId="Strong">
    <w:name w:val="Strong"/>
    <w:basedOn w:val="DefaultParagraphFont"/>
    <w:qFormat/>
    <w:rsid w:val="00223861"/>
    <w:rPr>
      <w:b/>
      <w:bCs/>
    </w:rPr>
  </w:style>
  <w:style w:type="table" w:styleId="TableGrid">
    <w:name w:val="Table Grid"/>
    <w:basedOn w:val="TableNormal"/>
    <w:qFormat/>
    <w:rsid w:val="002238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6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06C74"/>
    <w:rPr>
      <w:rFonts w:ascii="Tahoma" w:eastAsiaTheme="minorEastAsia" w:hAnsi="Tahoma" w:cs="Tahoma"/>
      <w:sz w:val="16"/>
      <w:szCs w:val="16"/>
      <w:lang w:eastAsia="zh-CN"/>
    </w:rPr>
  </w:style>
  <w:style w:type="paragraph" w:styleId="PlainText">
    <w:name w:val="Plain Text"/>
    <w:basedOn w:val="Normal"/>
    <w:link w:val="PlainTextChar"/>
    <w:rsid w:val="00846F9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846F9B"/>
    <w:rPr>
      <w:rFonts w:ascii="Consolas" w:eastAsiaTheme="minorEastAsia" w:hAnsi="Consolas" w:cs="Consolas"/>
      <w:sz w:val="21"/>
      <w:szCs w:val="21"/>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Computer8</cp:lastModifiedBy>
  <cp:revision>5</cp:revision>
  <dcterms:created xsi:type="dcterms:W3CDTF">2018-03-26T06:21:00Z</dcterms:created>
  <dcterms:modified xsi:type="dcterms:W3CDTF">2018-03-28T02:09:00Z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