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32" w:rsidRDefault="007A618C">
      <w:pPr>
        <w:ind w:firstLineChars="800" w:firstLine="2240"/>
        <w:rPr>
          <w:sz w:val="28"/>
          <w:szCs w:val="28"/>
          <w:lang w:val="en-MY"/>
        </w:rPr>
      </w:pPr>
      <w:r>
        <w:rPr>
          <w:sz w:val="28"/>
          <w:szCs w:val="28"/>
          <w:lang w:val="en-MY"/>
        </w:rPr>
        <w:t>WORLD GROWTH MANAGEMENT FUND LTD</w:t>
      </w:r>
    </w:p>
    <w:p w:rsidR="007C1A32" w:rsidRDefault="007A618C">
      <w:pPr>
        <w:ind w:firstLineChars="1900" w:firstLine="3800"/>
        <w:rPr>
          <w:sz w:val="28"/>
          <w:szCs w:val="28"/>
          <w:lang w:val="en-MY"/>
        </w:rPr>
      </w:pPr>
      <w:r>
        <w:rPr>
          <w:lang w:val="en-MY"/>
        </w:rPr>
        <w:t xml:space="preserve">Company </w:t>
      </w:r>
      <w:proofErr w:type="gramStart"/>
      <w:r>
        <w:rPr>
          <w:lang w:val="en-MY"/>
        </w:rPr>
        <w:t>No(</w:t>
      </w:r>
      <w:proofErr w:type="gramEnd"/>
      <w:r>
        <w:rPr>
          <w:lang w:val="en-MY"/>
        </w:rPr>
        <w:t>LL14049)</w:t>
      </w:r>
    </w:p>
    <w:tbl>
      <w:tblPr>
        <w:tblStyle w:val="TableGrid"/>
        <w:tblW w:w="3800" w:type="dxa"/>
        <w:tblLayout w:type="fixed"/>
        <w:tblLook w:val="04A0"/>
      </w:tblPr>
      <w:tblGrid>
        <w:gridCol w:w="1900"/>
        <w:gridCol w:w="1900"/>
      </w:tblGrid>
      <w:tr w:rsidR="007C1A32">
        <w:trPr>
          <w:trHeight w:val="406"/>
        </w:trPr>
        <w:tc>
          <w:tcPr>
            <w:tcW w:w="1900" w:type="dxa"/>
            <w:tcBorders>
              <w:top w:val="single" w:sz="12" w:space="0" w:color="FFFFFF"/>
              <w:left w:val="dotted" w:sz="8" w:space="0" w:color="auto"/>
              <w:bottom w:val="dotted" w:sz="8" w:space="0" w:color="auto"/>
              <w:right w:val="dotted" w:sz="8" w:space="0" w:color="auto"/>
            </w:tcBorders>
            <w:shd w:val="clear" w:color="auto" w:fill="AAAAAA"/>
          </w:tcPr>
          <w:p w:rsidR="007C1A32" w:rsidRDefault="007A618C">
            <w:pPr>
              <w:rPr>
                <w:color w:val="FFFFFF"/>
                <w:sz w:val="28"/>
                <w:szCs w:val="28"/>
              </w:rPr>
            </w:pPr>
            <w:r>
              <w:rPr>
                <w:rFonts w:hint="eastAsia"/>
                <w:color w:val="FFFFFF" w:themeColor="background1"/>
                <w:sz w:val="28"/>
                <w:szCs w:val="28"/>
              </w:rPr>
              <w:t>项目分析</w:t>
            </w:r>
            <w:bookmarkStart w:id="0" w:name="_GoBack"/>
            <w:bookmarkEnd w:id="0"/>
            <w:r>
              <w:rPr>
                <w:rFonts w:hint="eastAsia"/>
                <w:color w:val="FFFFFF" w:themeColor="background1"/>
                <w:sz w:val="28"/>
                <w:szCs w:val="28"/>
              </w:rPr>
              <w:t>指数</w:t>
            </w:r>
          </w:p>
        </w:tc>
        <w:tc>
          <w:tcPr>
            <w:tcW w:w="1900" w:type="dxa"/>
            <w:tcBorders>
              <w:top w:val="single" w:sz="12" w:space="0" w:color="FFFFFF"/>
              <w:left w:val="dotted" w:sz="8" w:space="0" w:color="auto"/>
              <w:bottom w:val="dotted" w:sz="8" w:space="0" w:color="auto"/>
              <w:right w:val="dotted" w:sz="8" w:space="0" w:color="auto"/>
            </w:tcBorders>
            <w:shd w:val="clear" w:color="auto" w:fill="AAAAAA"/>
          </w:tcPr>
          <w:p w:rsidR="007C1A32" w:rsidRDefault="007A618C">
            <w:pPr>
              <w:rPr>
                <w:color w:val="FFFFFF"/>
                <w:sz w:val="28"/>
                <w:szCs w:val="28"/>
              </w:rPr>
            </w:pPr>
            <w:r>
              <w:rPr>
                <w:rFonts w:hint="eastAsia"/>
                <w:color w:val="FFFFFF"/>
                <w:sz w:val="28"/>
                <w:szCs w:val="28"/>
              </w:rPr>
              <w:t>*****</w:t>
            </w:r>
          </w:p>
        </w:tc>
      </w:tr>
    </w:tbl>
    <w:p w:rsidR="007C1A32" w:rsidRDefault="007C1A32">
      <w:pPr>
        <w:rPr>
          <w:b/>
          <w:bCs/>
          <w:highlight w:val="cyan"/>
        </w:rPr>
      </w:pPr>
    </w:p>
    <w:p w:rsidR="003358A5" w:rsidRDefault="003358A5">
      <w:pPr>
        <w:rPr>
          <w:b/>
          <w:bCs/>
          <w:highlight w:val="cyan"/>
        </w:rPr>
      </w:pPr>
    </w:p>
    <w:tbl>
      <w:tblPr>
        <w:tblStyle w:val="TableGrid"/>
        <w:tblW w:w="9960" w:type="dxa"/>
        <w:tblLayout w:type="fixed"/>
        <w:tblLook w:val="04A0"/>
      </w:tblPr>
      <w:tblGrid>
        <w:gridCol w:w="2490"/>
        <w:gridCol w:w="2490"/>
        <w:gridCol w:w="2490"/>
        <w:gridCol w:w="2490"/>
      </w:tblGrid>
      <w:tr w:rsidR="007C1A32">
        <w:trPr>
          <w:trHeight w:val="633"/>
        </w:trPr>
        <w:tc>
          <w:tcPr>
            <w:tcW w:w="2490" w:type="dxa"/>
            <w:tcBorders>
              <w:top w:val="single" w:sz="12" w:space="0" w:color="FFFFFF"/>
              <w:left w:val="dotted" w:sz="4" w:space="0" w:color="auto"/>
              <w:bottom w:val="dotted" w:sz="4" w:space="0" w:color="auto"/>
              <w:right w:val="dotted" w:sz="4" w:space="0" w:color="auto"/>
            </w:tcBorders>
            <w:shd w:val="clear" w:color="auto" w:fill="AAAAAA"/>
          </w:tcPr>
          <w:p w:rsidR="007C1A32" w:rsidRDefault="007A618C">
            <w:pPr>
              <w:rPr>
                <w:b/>
                <w:bCs/>
                <w:color w:val="FFFFFF"/>
                <w:sz w:val="24"/>
                <w:szCs w:val="24"/>
                <w:highlight w:val="cyan"/>
              </w:rPr>
            </w:pPr>
            <w:r>
              <w:rPr>
                <w:rFonts w:hint="eastAsia"/>
                <w:b/>
                <w:bCs/>
                <w:color w:val="FFFFFF"/>
                <w:sz w:val="24"/>
                <w:szCs w:val="24"/>
              </w:rPr>
              <w:t>项目公司：腾讯控股有限公司</w:t>
            </w:r>
          </w:p>
        </w:tc>
        <w:tc>
          <w:tcPr>
            <w:tcW w:w="2490" w:type="dxa"/>
            <w:tcBorders>
              <w:top w:val="single" w:sz="12" w:space="0" w:color="FFFFFF"/>
              <w:left w:val="dotted" w:sz="4" w:space="0" w:color="auto"/>
              <w:bottom w:val="dotted" w:sz="4" w:space="0" w:color="auto"/>
              <w:right w:val="dotted" w:sz="4" w:space="0" w:color="auto"/>
            </w:tcBorders>
            <w:shd w:val="clear" w:color="auto" w:fill="AAAAAA"/>
          </w:tcPr>
          <w:p w:rsidR="007C1A32" w:rsidRDefault="007A618C">
            <w:pPr>
              <w:rPr>
                <w:b/>
                <w:bCs/>
                <w:color w:val="FFFFFF"/>
                <w:sz w:val="24"/>
                <w:szCs w:val="24"/>
              </w:rPr>
            </w:pPr>
            <w:r>
              <w:rPr>
                <w:rFonts w:hint="eastAsia"/>
                <w:b/>
                <w:bCs/>
                <w:color w:val="FFFFFF"/>
                <w:sz w:val="24"/>
                <w:szCs w:val="24"/>
              </w:rPr>
              <w:t>项目编号：</w:t>
            </w:r>
            <w:r>
              <w:rPr>
                <w:rFonts w:hint="eastAsia"/>
                <w:b/>
                <w:bCs/>
                <w:color w:val="FFFFFF"/>
                <w:sz w:val="24"/>
                <w:szCs w:val="24"/>
              </w:rPr>
              <w:t>00001</w:t>
            </w:r>
          </w:p>
        </w:tc>
        <w:tc>
          <w:tcPr>
            <w:tcW w:w="2490" w:type="dxa"/>
            <w:tcBorders>
              <w:top w:val="single" w:sz="12" w:space="0" w:color="FFFFFF"/>
              <w:left w:val="dotted" w:sz="4" w:space="0" w:color="auto"/>
              <w:bottom w:val="dotted" w:sz="4" w:space="0" w:color="auto"/>
              <w:right w:val="dotted" w:sz="4" w:space="0" w:color="auto"/>
            </w:tcBorders>
            <w:shd w:val="clear" w:color="auto" w:fill="AAAAAA"/>
          </w:tcPr>
          <w:p w:rsidR="007C1A32" w:rsidRDefault="007A618C">
            <w:pPr>
              <w:rPr>
                <w:b/>
                <w:bCs/>
                <w:color w:val="FFFFFF"/>
                <w:sz w:val="24"/>
                <w:szCs w:val="24"/>
              </w:rPr>
            </w:pPr>
            <w:r>
              <w:rPr>
                <w:rFonts w:hint="eastAsia"/>
                <w:b/>
                <w:bCs/>
                <w:color w:val="FFFFFF"/>
                <w:sz w:val="24"/>
                <w:szCs w:val="24"/>
              </w:rPr>
              <w:t>日期：</w:t>
            </w:r>
            <w:r>
              <w:rPr>
                <w:rFonts w:hint="eastAsia"/>
                <w:b/>
                <w:bCs/>
                <w:color w:val="FFFFFF"/>
                <w:sz w:val="24"/>
                <w:szCs w:val="24"/>
              </w:rPr>
              <w:t>05/02/2018</w:t>
            </w:r>
          </w:p>
        </w:tc>
        <w:tc>
          <w:tcPr>
            <w:tcW w:w="2490" w:type="dxa"/>
            <w:tcBorders>
              <w:top w:val="single" w:sz="12" w:space="0" w:color="FFFFFF"/>
              <w:left w:val="dotted" w:sz="4" w:space="0" w:color="auto"/>
              <w:bottom w:val="dotted" w:sz="4" w:space="0" w:color="auto"/>
              <w:right w:val="dotted" w:sz="4" w:space="0" w:color="auto"/>
            </w:tcBorders>
            <w:shd w:val="clear" w:color="auto" w:fill="AAAAAA"/>
          </w:tcPr>
          <w:p w:rsidR="007C1A32" w:rsidRDefault="007A618C">
            <w:pPr>
              <w:rPr>
                <w:b/>
                <w:bCs/>
                <w:color w:val="FFFFFF"/>
                <w:sz w:val="24"/>
                <w:szCs w:val="24"/>
              </w:rPr>
            </w:pPr>
            <w:r>
              <w:rPr>
                <w:rFonts w:hint="eastAsia"/>
                <w:b/>
                <w:bCs/>
                <w:color w:val="FFFFFF"/>
                <w:sz w:val="24"/>
                <w:szCs w:val="24"/>
              </w:rPr>
              <w:t>发布时间：</w:t>
            </w:r>
            <w:r>
              <w:rPr>
                <w:rFonts w:hint="eastAsia"/>
                <w:b/>
                <w:bCs/>
                <w:color w:val="FFFFFF"/>
                <w:sz w:val="24"/>
                <w:szCs w:val="24"/>
              </w:rPr>
              <w:t>6</w:t>
            </w:r>
            <w:r>
              <w:rPr>
                <w:rFonts w:ascii="Times New Roman" w:hAnsi="Times New Roman" w:cs="Times New Roman" w:hint="eastAsia"/>
                <w:b/>
                <w:bCs/>
                <w:color w:val="FFFFFF"/>
                <w:sz w:val="24"/>
                <w:szCs w:val="24"/>
              </w:rPr>
              <w:t>:</w:t>
            </w:r>
            <w:r>
              <w:rPr>
                <w:rFonts w:hint="eastAsia"/>
                <w:b/>
                <w:bCs/>
                <w:color w:val="FFFFFF"/>
                <w:sz w:val="24"/>
                <w:szCs w:val="24"/>
              </w:rPr>
              <w:t>02pm</w:t>
            </w:r>
          </w:p>
        </w:tc>
      </w:tr>
    </w:tbl>
    <w:p w:rsidR="007C1A32" w:rsidRDefault="007C1A32">
      <w:pPr>
        <w:rPr>
          <w:b/>
          <w:bCs/>
          <w:sz w:val="24"/>
          <w:szCs w:val="24"/>
          <w:highlight w:val="cyan"/>
        </w:rPr>
      </w:pPr>
    </w:p>
    <w:tbl>
      <w:tblPr>
        <w:tblStyle w:val="TableGrid"/>
        <w:tblW w:w="9980" w:type="dxa"/>
        <w:tblLayout w:type="fixed"/>
        <w:tblLook w:val="04A0"/>
      </w:tblPr>
      <w:tblGrid>
        <w:gridCol w:w="2502"/>
        <w:gridCol w:w="2500"/>
        <w:gridCol w:w="2489"/>
        <w:gridCol w:w="2489"/>
      </w:tblGrid>
      <w:tr w:rsidR="007C1A32">
        <w:trPr>
          <w:trHeight w:val="427"/>
        </w:trPr>
        <w:tc>
          <w:tcPr>
            <w:tcW w:w="2502"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rPr>
                <w:rFonts w:ascii="Times New Roman" w:hAnsi="Times New Roman" w:cs="Times New Roman"/>
                <w:color w:val="000000"/>
                <w:sz w:val="24"/>
                <w:szCs w:val="24"/>
                <w:highlight w:val="yellow"/>
                <w:lang w:val="en-MY"/>
              </w:rPr>
            </w:pPr>
            <w:r>
              <w:rPr>
                <w:rFonts w:ascii="Times New Roman" w:eastAsia="SimSun" w:hAnsi="Times New Roman" w:cs="Times New Roman"/>
                <w:b/>
                <w:color w:val="000000"/>
                <w:sz w:val="24"/>
                <w:szCs w:val="24"/>
                <w:highlight w:val="yellow"/>
                <w:shd w:val="clear" w:color="auto" w:fill="FFF1A8"/>
              </w:rPr>
              <w:t>腾讯控股</w:t>
            </w:r>
          </w:p>
        </w:tc>
        <w:tc>
          <w:tcPr>
            <w:tcW w:w="2500"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200" w:firstLine="480"/>
              <w:rPr>
                <w:rFonts w:ascii="Times New Roman" w:hAnsi="Times New Roman" w:cs="Times New Roman"/>
                <w:color w:val="000000"/>
                <w:sz w:val="24"/>
                <w:szCs w:val="24"/>
                <w:highlight w:val="yellow"/>
                <w:lang w:val="en-MY"/>
              </w:rPr>
            </w:pPr>
            <w:r>
              <w:rPr>
                <w:rFonts w:ascii="Times New Roman" w:hAnsi="Times New Roman" w:cs="Times New Roman"/>
                <w:color w:val="000000"/>
                <w:sz w:val="24"/>
                <w:szCs w:val="24"/>
                <w:highlight w:val="yellow"/>
                <w:lang w:val="en-MY"/>
              </w:rPr>
              <w:t>（</w:t>
            </w:r>
            <w:r>
              <w:rPr>
                <w:rFonts w:ascii="Times New Roman" w:hAnsi="Times New Roman" w:cs="Times New Roman"/>
                <w:color w:val="000000"/>
                <w:sz w:val="24"/>
                <w:szCs w:val="24"/>
                <w:highlight w:val="yellow"/>
              </w:rPr>
              <w:t>00700）</w:t>
            </w:r>
          </w:p>
        </w:tc>
        <w:tc>
          <w:tcPr>
            <w:tcW w:w="2489"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交易股数量：</w:t>
            </w:r>
          </w:p>
          <w:p w:rsidR="00200895" w:rsidRDefault="00200895">
            <w:pPr>
              <w:rPr>
                <w:rFonts w:ascii="Times New Roman" w:hAnsi="Times New Roman" w:cs="Times New Roman"/>
                <w:color w:val="000000"/>
                <w:sz w:val="24"/>
                <w:szCs w:val="24"/>
                <w:highlight w:val="yellow"/>
              </w:rPr>
            </w:pPr>
            <w:r w:rsidRPr="00FB1844">
              <w:rPr>
                <w:rFonts w:ascii="Times New Roman" w:hAnsi="Times New Roman" w:cs="Times New Roman"/>
                <w:b/>
                <w:color w:val="000000"/>
                <w:sz w:val="24"/>
                <w:szCs w:val="24"/>
              </w:rPr>
              <w:t>(Stock Trading)</w:t>
            </w:r>
          </w:p>
        </w:tc>
        <w:tc>
          <w:tcPr>
            <w:tcW w:w="2489"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100" w:firstLine="240"/>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10,000.00股</w:t>
            </w:r>
            <w:r w:rsidR="00200895">
              <w:rPr>
                <w:rFonts w:ascii="Times New Roman" w:hAnsi="Times New Roman" w:cs="Times New Roman"/>
                <w:color w:val="000000"/>
                <w:sz w:val="24"/>
                <w:szCs w:val="24"/>
                <w:highlight w:val="yellow"/>
              </w:rPr>
              <w:t xml:space="preserve"> share</w:t>
            </w:r>
          </w:p>
        </w:tc>
      </w:tr>
      <w:tr w:rsidR="007C1A32">
        <w:trPr>
          <w:trHeight w:val="479"/>
        </w:trPr>
        <w:tc>
          <w:tcPr>
            <w:tcW w:w="2502"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rPr>
                <w:rFonts w:ascii="Times New Roman" w:eastAsia="SimSun" w:hAnsi="Times New Roman" w:cs="Times New Roman"/>
                <w:b/>
                <w:color w:val="555555"/>
                <w:sz w:val="24"/>
                <w:szCs w:val="24"/>
                <w:highlight w:val="yellow"/>
                <w:shd w:val="clear" w:color="auto" w:fill="FFF1A8"/>
              </w:rPr>
            </w:pPr>
            <w:r>
              <w:rPr>
                <w:rFonts w:ascii="Times New Roman" w:eastAsia="SimSun" w:hAnsi="Times New Roman" w:cs="Times New Roman"/>
                <w:b/>
                <w:color w:val="555555"/>
                <w:sz w:val="24"/>
                <w:szCs w:val="24"/>
                <w:highlight w:val="yellow"/>
                <w:shd w:val="clear" w:color="auto" w:fill="FFF1A8"/>
              </w:rPr>
              <w:t>规模资金：</w:t>
            </w:r>
          </w:p>
          <w:p w:rsidR="00200895" w:rsidRDefault="00200895">
            <w:pPr>
              <w:rPr>
                <w:rFonts w:ascii="Times New Roman" w:hAnsi="Times New Roman" w:cs="Times New Roman"/>
                <w:color w:val="000000"/>
                <w:sz w:val="24"/>
                <w:szCs w:val="24"/>
                <w:highlight w:val="yellow"/>
                <w:lang w:val="en-MY"/>
              </w:rPr>
            </w:pPr>
            <w:r w:rsidRPr="00FB1844">
              <w:rPr>
                <w:rFonts w:ascii="Times New Roman" w:hAnsi="Times New Roman" w:cs="Times New Roman"/>
                <w:b/>
                <w:color w:val="000000"/>
                <w:sz w:val="24"/>
                <w:szCs w:val="24"/>
              </w:rPr>
              <w:t>(Size of Fund)</w:t>
            </w:r>
          </w:p>
        </w:tc>
        <w:tc>
          <w:tcPr>
            <w:tcW w:w="2500"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100" w:firstLine="240"/>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HKD4,700,000.00</w:t>
            </w:r>
          </w:p>
        </w:tc>
        <w:tc>
          <w:tcPr>
            <w:tcW w:w="2489"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rPr>
                <w:rFonts w:ascii="Times New Roman" w:hAnsi="Times New Roman" w:cs="Times New Roman"/>
                <w:b/>
                <w:bCs/>
                <w:color w:val="000000"/>
                <w:sz w:val="24"/>
                <w:szCs w:val="24"/>
                <w:highlight w:val="yellow"/>
              </w:rPr>
            </w:pPr>
            <w:r>
              <w:rPr>
                <w:rFonts w:ascii="Times New Roman" w:hAnsi="Times New Roman" w:cs="Times New Roman"/>
                <w:b/>
                <w:bCs/>
                <w:color w:val="000000"/>
                <w:sz w:val="24"/>
                <w:szCs w:val="24"/>
                <w:highlight w:val="yellow"/>
              </w:rPr>
              <w:t>货币</w:t>
            </w:r>
          </w:p>
          <w:p w:rsidR="00200895" w:rsidRDefault="00200895">
            <w:pPr>
              <w:rPr>
                <w:rFonts w:ascii="Times New Roman" w:hAnsi="Times New Roman" w:cs="Times New Roman"/>
                <w:color w:val="000000"/>
                <w:sz w:val="24"/>
                <w:szCs w:val="24"/>
                <w:highlight w:val="yellow"/>
              </w:rPr>
            </w:pPr>
            <w:r>
              <w:rPr>
                <w:rFonts w:ascii="Times New Roman" w:hAnsi="Times New Roman" w:cs="Times New Roman"/>
                <w:b/>
                <w:bCs/>
                <w:color w:val="000000"/>
                <w:sz w:val="24"/>
                <w:szCs w:val="24"/>
              </w:rPr>
              <w:t>(Currency)</w:t>
            </w:r>
          </w:p>
        </w:tc>
        <w:tc>
          <w:tcPr>
            <w:tcW w:w="2489"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300" w:firstLine="720"/>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HKD</w:t>
            </w:r>
          </w:p>
        </w:tc>
      </w:tr>
    </w:tbl>
    <w:p w:rsidR="007C1A32" w:rsidRDefault="007C1A32"/>
    <w:p w:rsidR="007C1A32" w:rsidRDefault="007A618C">
      <w:r>
        <w:rPr>
          <w:noProof/>
          <w:lang w:eastAsia="en-US"/>
        </w:rPr>
        <w:drawing>
          <wp:inline distT="0" distB="0" distL="114300" distR="114300">
            <wp:extent cx="3094990" cy="2409825"/>
            <wp:effectExtent l="0" t="0" r="10160"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5"/>
                    <a:stretch>
                      <a:fillRect/>
                    </a:stretch>
                  </pic:blipFill>
                  <pic:spPr>
                    <a:xfrm>
                      <a:off x="0" y="0"/>
                      <a:ext cx="3094990" cy="2409825"/>
                    </a:xfrm>
                    <a:prstGeom prst="rect">
                      <a:avLst/>
                    </a:prstGeom>
                    <a:noFill/>
                    <a:ln w="9525">
                      <a:noFill/>
                    </a:ln>
                  </pic:spPr>
                </pic:pic>
              </a:graphicData>
            </a:graphic>
          </wp:inline>
        </w:drawing>
      </w:r>
      <w:r>
        <w:rPr>
          <w:noProof/>
          <w:lang w:eastAsia="en-US"/>
        </w:rPr>
        <w:drawing>
          <wp:inline distT="0" distB="0" distL="114300" distR="114300">
            <wp:extent cx="3104515" cy="4352290"/>
            <wp:effectExtent l="0" t="0" r="635"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6"/>
                    <a:stretch>
                      <a:fillRect/>
                    </a:stretch>
                  </pic:blipFill>
                  <pic:spPr>
                    <a:xfrm>
                      <a:off x="0" y="0"/>
                      <a:ext cx="3104515" cy="4352290"/>
                    </a:xfrm>
                    <a:prstGeom prst="rect">
                      <a:avLst/>
                    </a:prstGeom>
                    <a:noFill/>
                    <a:ln w="9525">
                      <a:noFill/>
                    </a:ln>
                  </pic:spPr>
                </pic:pic>
              </a:graphicData>
            </a:graphic>
          </wp:inline>
        </w:drawing>
      </w:r>
    </w:p>
    <w:p w:rsidR="003358A5" w:rsidRDefault="003358A5">
      <w:pPr>
        <w:pStyle w:val="Heading1"/>
        <w:shd w:val="clear" w:color="auto" w:fill="FFFFFF"/>
        <w:spacing w:beforeAutospacing="0" w:afterAutospacing="0" w:line="540" w:lineRule="atLeast"/>
        <w:rPr>
          <w:rFonts w:ascii="Helvetica" w:eastAsia="Helvetica" w:hAnsi="Helvetica" w:cs="Helvetica" w:hint="default"/>
          <w:color w:val="333333"/>
          <w:sz w:val="24"/>
          <w:szCs w:val="24"/>
          <w:shd w:val="clear" w:color="auto" w:fill="FFFFFF"/>
        </w:rPr>
      </w:pPr>
    </w:p>
    <w:p w:rsidR="007C1A32" w:rsidRDefault="007A618C">
      <w:pPr>
        <w:pStyle w:val="Heading1"/>
        <w:shd w:val="clear" w:color="auto" w:fill="FFFFFF"/>
        <w:spacing w:beforeAutospacing="0" w:afterAutospacing="0" w:line="540" w:lineRule="atLeast"/>
        <w:rPr>
          <w:rFonts w:ascii="Helvetica" w:eastAsia="Helvetica" w:hAnsi="Helvetica" w:cs="Helvetica" w:hint="default"/>
          <w:color w:val="333333"/>
          <w:sz w:val="24"/>
          <w:szCs w:val="24"/>
          <w:shd w:val="clear" w:color="auto" w:fill="FFFFFF"/>
        </w:rPr>
      </w:pPr>
      <w:r>
        <w:rPr>
          <w:rFonts w:ascii="Helvetica" w:eastAsia="Helvetica" w:hAnsi="Helvetica" w:cs="Helvetica" w:hint="default"/>
          <w:color w:val="333333"/>
          <w:sz w:val="24"/>
          <w:szCs w:val="24"/>
          <w:shd w:val="clear" w:color="auto" w:fill="FFFFFF"/>
        </w:rPr>
        <w:lastRenderedPageBreak/>
        <w:t>腾讯控股(00700.HK)：2018年有的放矢;长期化潜力可期</w:t>
      </w:r>
    </w:p>
    <w:p w:rsidR="00200895" w:rsidRPr="00200895" w:rsidRDefault="00200895" w:rsidP="00200895">
      <w:pPr>
        <w:rPr>
          <w:b/>
          <w:sz w:val="28"/>
          <w:szCs w:val="28"/>
        </w:rPr>
      </w:pPr>
      <w:r>
        <w:rPr>
          <w:b/>
          <w:sz w:val="28"/>
          <w:szCs w:val="28"/>
        </w:rPr>
        <w:t>(</w:t>
      </w:r>
      <w:r w:rsidR="003358A5">
        <w:rPr>
          <w:b/>
          <w:sz w:val="28"/>
          <w:szCs w:val="28"/>
        </w:rPr>
        <w:t>Targeting 2018; L</w:t>
      </w:r>
      <w:r w:rsidRPr="00200895">
        <w:rPr>
          <w:b/>
          <w:sz w:val="28"/>
          <w:szCs w:val="28"/>
        </w:rPr>
        <w:t>ong-term potential</w:t>
      </w:r>
      <w:r w:rsidR="00054316">
        <w:rPr>
          <w:b/>
          <w:sz w:val="28"/>
          <w:szCs w:val="28"/>
        </w:rPr>
        <w:t xml:space="preserve"> </w:t>
      </w:r>
      <w:proofErr w:type="gramStart"/>
      <w:r w:rsidR="00054316">
        <w:rPr>
          <w:b/>
          <w:sz w:val="28"/>
          <w:szCs w:val="28"/>
        </w:rPr>
        <w:t>E</w:t>
      </w:r>
      <w:r>
        <w:rPr>
          <w:b/>
          <w:sz w:val="28"/>
          <w:szCs w:val="28"/>
        </w:rPr>
        <w:t>xpected</w:t>
      </w:r>
      <w:proofErr w:type="gramEnd"/>
      <w:r>
        <w:rPr>
          <w:b/>
          <w:sz w:val="28"/>
          <w:szCs w:val="28"/>
        </w:rPr>
        <w:t>)</w:t>
      </w:r>
    </w:p>
    <w:p w:rsidR="007C1A32" w:rsidRDefault="007A618C">
      <w:r>
        <w:rPr>
          <w:noProof/>
          <w:lang w:eastAsia="en-US"/>
        </w:rPr>
        <w:drawing>
          <wp:inline distT="0" distB="0" distL="114300" distR="114300">
            <wp:extent cx="6343650" cy="1997075"/>
            <wp:effectExtent l="0" t="0" r="0" b="317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pic:cNvPicPr>
                  </pic:nvPicPr>
                  <pic:blipFill>
                    <a:blip r:embed="rId7"/>
                    <a:stretch>
                      <a:fillRect/>
                    </a:stretch>
                  </pic:blipFill>
                  <pic:spPr>
                    <a:xfrm>
                      <a:off x="0" y="0"/>
                      <a:ext cx="6343650" cy="1997075"/>
                    </a:xfrm>
                    <a:prstGeom prst="rect">
                      <a:avLst/>
                    </a:prstGeom>
                    <a:noFill/>
                    <a:ln w="9525">
                      <a:noFill/>
                    </a:ln>
                  </pic:spPr>
                </pic:pic>
              </a:graphicData>
            </a:graphic>
          </wp:inline>
        </w:drawing>
      </w:r>
    </w:p>
    <w:p w:rsidR="007C1A32" w:rsidRDefault="007A618C">
      <w:pPr>
        <w:rPr>
          <w:b/>
          <w:bCs/>
          <w:sz w:val="24"/>
          <w:szCs w:val="24"/>
          <w:highlight w:val="cyan"/>
        </w:rPr>
      </w:pPr>
      <w:r>
        <w:rPr>
          <w:rFonts w:hint="eastAsia"/>
          <w:b/>
          <w:bCs/>
          <w:sz w:val="24"/>
          <w:szCs w:val="24"/>
        </w:rPr>
        <w:t>基金会融资</w:t>
      </w:r>
      <w:r w:rsidR="00200895">
        <w:rPr>
          <w:b/>
          <w:bCs/>
          <w:sz w:val="24"/>
          <w:szCs w:val="24"/>
        </w:rPr>
        <w:t xml:space="preserve"> (</w:t>
      </w:r>
      <w:r w:rsidR="00200895">
        <w:rPr>
          <w:b/>
          <w:bCs/>
          <w:sz w:val="28"/>
          <w:szCs w:val="28"/>
        </w:rPr>
        <w:t>Foundation of Fund)</w:t>
      </w:r>
    </w:p>
    <w:tbl>
      <w:tblPr>
        <w:tblStyle w:val="TableGrid"/>
        <w:tblW w:w="10060" w:type="dxa"/>
        <w:tblLayout w:type="fixed"/>
        <w:tblLook w:val="04A0"/>
      </w:tblPr>
      <w:tblGrid>
        <w:gridCol w:w="2524"/>
        <w:gridCol w:w="2522"/>
        <w:gridCol w:w="2508"/>
        <w:gridCol w:w="2506"/>
      </w:tblGrid>
      <w:tr w:rsidR="007C1A32">
        <w:trPr>
          <w:trHeight w:val="404"/>
        </w:trPr>
        <w:tc>
          <w:tcPr>
            <w:tcW w:w="2524"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rPr>
                <w:rFonts w:ascii="Times New Roman" w:eastAsia="SimSun" w:hAnsi="Times New Roman" w:cs="Times New Roman"/>
                <w:b/>
                <w:bCs/>
                <w:sz w:val="24"/>
                <w:szCs w:val="24"/>
                <w:highlight w:val="yellow"/>
                <w:shd w:val="clear" w:color="auto" w:fill="FFF1A8"/>
              </w:rPr>
            </w:pPr>
            <w:r>
              <w:rPr>
                <w:rFonts w:hint="eastAsia"/>
                <w:b/>
                <w:bCs/>
                <w:sz w:val="24"/>
                <w:szCs w:val="24"/>
                <w:highlight w:val="yellow"/>
              </w:rPr>
              <w:t>项目资金</w:t>
            </w:r>
            <w:r>
              <w:rPr>
                <w:rFonts w:ascii="Times New Roman" w:eastAsia="SimSun" w:hAnsi="Times New Roman" w:cs="Times New Roman"/>
                <w:b/>
                <w:bCs/>
                <w:sz w:val="24"/>
                <w:szCs w:val="24"/>
                <w:highlight w:val="yellow"/>
                <w:shd w:val="clear" w:color="auto" w:fill="FFF1A8"/>
              </w:rPr>
              <w:t>规模</w:t>
            </w:r>
          </w:p>
          <w:p w:rsidR="00200895" w:rsidRDefault="00200895">
            <w:pPr>
              <w:rPr>
                <w:b/>
                <w:bCs/>
                <w:color w:val="000000"/>
                <w:sz w:val="24"/>
                <w:szCs w:val="24"/>
                <w:highlight w:val="yellow"/>
              </w:rPr>
            </w:pPr>
            <w:r>
              <w:rPr>
                <w:b/>
                <w:bCs/>
                <w:color w:val="000000"/>
                <w:sz w:val="28"/>
                <w:szCs w:val="28"/>
              </w:rPr>
              <w:t>(Funding Scale)</w:t>
            </w:r>
          </w:p>
        </w:tc>
        <w:tc>
          <w:tcPr>
            <w:tcW w:w="2522"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200" w:firstLine="482"/>
              <w:rPr>
                <w:rFonts w:ascii="Times New Roman" w:hAnsi="Times New Roman" w:cs="Times New Roman"/>
                <w:b/>
                <w:bCs/>
                <w:color w:val="000000"/>
                <w:sz w:val="24"/>
                <w:szCs w:val="24"/>
                <w:highlight w:val="yellow"/>
              </w:rPr>
            </w:pPr>
            <w:r>
              <w:rPr>
                <w:rFonts w:ascii="Times New Roman" w:hAnsi="Times New Roman" w:cs="Times New Roman" w:hint="eastAsia"/>
                <w:b/>
                <w:bCs/>
                <w:color w:val="000000"/>
                <w:sz w:val="24"/>
                <w:szCs w:val="24"/>
                <w:highlight w:val="yellow"/>
              </w:rPr>
              <w:t>总</w:t>
            </w:r>
            <w:r>
              <w:rPr>
                <w:rFonts w:ascii="Times New Roman" w:hAnsi="Times New Roman" w:cs="Times New Roman"/>
                <w:b/>
                <w:bCs/>
                <w:color w:val="000000"/>
                <w:sz w:val="24"/>
                <w:szCs w:val="24"/>
                <w:highlight w:val="yellow"/>
              </w:rPr>
              <w:t>股</w:t>
            </w:r>
            <w:r>
              <w:rPr>
                <w:rFonts w:ascii="Times New Roman" w:hAnsi="Times New Roman" w:cs="Times New Roman" w:hint="eastAsia"/>
                <w:b/>
                <w:bCs/>
                <w:color w:val="000000"/>
                <w:sz w:val="24"/>
                <w:szCs w:val="24"/>
                <w:highlight w:val="yellow"/>
              </w:rPr>
              <w:t>本</w:t>
            </w:r>
          </w:p>
          <w:p w:rsidR="00200895" w:rsidRDefault="00200895" w:rsidP="00200895">
            <w:pPr>
              <w:rPr>
                <w:b/>
                <w:bCs/>
                <w:color w:val="000000"/>
                <w:sz w:val="24"/>
                <w:szCs w:val="24"/>
                <w:highlight w:val="yellow"/>
              </w:rPr>
            </w:pPr>
            <w:r>
              <w:rPr>
                <w:b/>
                <w:bCs/>
                <w:color w:val="000000"/>
                <w:sz w:val="28"/>
                <w:szCs w:val="28"/>
              </w:rPr>
              <w:t xml:space="preserve">  </w:t>
            </w:r>
            <w:r w:rsidRPr="00FB1844">
              <w:rPr>
                <w:b/>
                <w:bCs/>
                <w:color w:val="000000"/>
                <w:sz w:val="28"/>
                <w:szCs w:val="28"/>
              </w:rPr>
              <w:t>(</w:t>
            </w:r>
            <w:r>
              <w:rPr>
                <w:b/>
                <w:bCs/>
                <w:color w:val="000000"/>
                <w:sz w:val="28"/>
                <w:szCs w:val="28"/>
              </w:rPr>
              <w:t>Share C</w:t>
            </w:r>
            <w:r w:rsidRPr="00FB1844">
              <w:rPr>
                <w:b/>
                <w:bCs/>
                <w:color w:val="000000"/>
                <w:sz w:val="28"/>
                <w:szCs w:val="28"/>
              </w:rPr>
              <w:t>apital)</w:t>
            </w:r>
          </w:p>
        </w:tc>
        <w:tc>
          <w:tcPr>
            <w:tcW w:w="2508"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300" w:firstLine="723"/>
              <w:rPr>
                <w:b/>
                <w:bCs/>
                <w:color w:val="000000"/>
                <w:sz w:val="24"/>
                <w:szCs w:val="24"/>
                <w:highlight w:val="yellow"/>
              </w:rPr>
            </w:pPr>
            <w:r>
              <w:rPr>
                <w:rFonts w:hint="eastAsia"/>
                <w:b/>
                <w:bCs/>
                <w:color w:val="000000"/>
                <w:sz w:val="24"/>
                <w:szCs w:val="24"/>
                <w:highlight w:val="yellow"/>
              </w:rPr>
              <w:t>每手</w:t>
            </w:r>
          </w:p>
          <w:p w:rsidR="00200895" w:rsidRDefault="00200895" w:rsidP="00200895">
            <w:pPr>
              <w:rPr>
                <w:b/>
                <w:bCs/>
                <w:color w:val="000000"/>
                <w:sz w:val="24"/>
                <w:szCs w:val="24"/>
                <w:highlight w:val="yellow"/>
              </w:rPr>
            </w:pPr>
            <w:r>
              <w:rPr>
                <w:b/>
                <w:bCs/>
                <w:color w:val="000000"/>
                <w:sz w:val="28"/>
                <w:szCs w:val="28"/>
              </w:rPr>
              <w:t xml:space="preserve">   (Each</w:t>
            </w:r>
            <w:r w:rsidRPr="00FB1844">
              <w:rPr>
                <w:b/>
                <w:bCs/>
                <w:color w:val="000000"/>
                <w:sz w:val="28"/>
                <w:szCs w:val="28"/>
              </w:rPr>
              <w:t xml:space="preserve"> Lot)</w:t>
            </w:r>
          </w:p>
        </w:tc>
        <w:tc>
          <w:tcPr>
            <w:tcW w:w="2506"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200" w:firstLine="482"/>
              <w:rPr>
                <w:b/>
                <w:bCs/>
                <w:color w:val="000000"/>
                <w:sz w:val="24"/>
                <w:szCs w:val="24"/>
                <w:highlight w:val="yellow"/>
              </w:rPr>
            </w:pPr>
            <w:r>
              <w:rPr>
                <w:rFonts w:hint="eastAsia"/>
                <w:b/>
                <w:bCs/>
                <w:color w:val="000000"/>
                <w:sz w:val="24"/>
                <w:szCs w:val="24"/>
                <w:highlight w:val="yellow"/>
              </w:rPr>
              <w:t>每股</w:t>
            </w:r>
          </w:p>
          <w:p w:rsidR="00200895" w:rsidRDefault="00200895" w:rsidP="00200895">
            <w:pPr>
              <w:rPr>
                <w:b/>
                <w:bCs/>
                <w:color w:val="000000"/>
                <w:sz w:val="24"/>
                <w:szCs w:val="24"/>
                <w:highlight w:val="yellow"/>
              </w:rPr>
            </w:pPr>
            <w:r>
              <w:rPr>
                <w:b/>
                <w:bCs/>
                <w:color w:val="000000"/>
                <w:sz w:val="28"/>
                <w:szCs w:val="28"/>
              </w:rPr>
              <w:t xml:space="preserve"> </w:t>
            </w:r>
            <w:r w:rsidRPr="00D73514">
              <w:rPr>
                <w:b/>
                <w:bCs/>
                <w:color w:val="000000"/>
                <w:sz w:val="28"/>
                <w:szCs w:val="28"/>
              </w:rPr>
              <w:t>(Per Share Price)</w:t>
            </w:r>
          </w:p>
        </w:tc>
      </w:tr>
      <w:tr w:rsidR="007C1A32">
        <w:trPr>
          <w:trHeight w:val="433"/>
        </w:trPr>
        <w:tc>
          <w:tcPr>
            <w:tcW w:w="2524"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HKD4,700,000.00</w:t>
            </w:r>
          </w:p>
        </w:tc>
        <w:tc>
          <w:tcPr>
            <w:tcW w:w="2522"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200" w:firstLine="480"/>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10</w:t>
            </w:r>
            <w:r>
              <w:rPr>
                <w:rFonts w:ascii="Times New Roman" w:hAnsi="Times New Roman" w:cs="Times New Roman" w:hint="eastAsia"/>
                <w:color w:val="000000"/>
                <w:sz w:val="24"/>
                <w:szCs w:val="24"/>
                <w:highlight w:val="yellow"/>
              </w:rPr>
              <w:t>,00</w:t>
            </w:r>
            <w:r>
              <w:rPr>
                <w:rFonts w:ascii="Times New Roman" w:hAnsi="Times New Roman" w:cs="Times New Roman"/>
                <w:color w:val="000000"/>
                <w:sz w:val="24"/>
                <w:szCs w:val="24"/>
                <w:highlight w:val="yellow"/>
              </w:rPr>
              <w:t>0份股</w:t>
            </w:r>
          </w:p>
        </w:tc>
        <w:tc>
          <w:tcPr>
            <w:tcW w:w="2508"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300" w:firstLine="720"/>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1</w:t>
            </w:r>
            <w:r>
              <w:rPr>
                <w:rFonts w:ascii="Times New Roman" w:hAnsi="Times New Roman" w:cs="Times New Roman" w:hint="eastAsia"/>
                <w:color w:val="000000"/>
                <w:sz w:val="24"/>
                <w:szCs w:val="24"/>
                <w:highlight w:val="yellow"/>
              </w:rPr>
              <w:t>00</w:t>
            </w:r>
            <w:r>
              <w:rPr>
                <w:rFonts w:ascii="Times New Roman" w:hAnsi="Times New Roman" w:cs="Times New Roman"/>
                <w:color w:val="000000"/>
                <w:sz w:val="24"/>
                <w:szCs w:val="24"/>
                <w:highlight w:val="yellow"/>
              </w:rPr>
              <w:t>股</w:t>
            </w:r>
            <w:r w:rsidR="00200895">
              <w:rPr>
                <w:rFonts w:ascii="Times New Roman" w:hAnsi="Times New Roman" w:cs="Times New Roman"/>
                <w:color w:val="000000"/>
                <w:sz w:val="24"/>
                <w:szCs w:val="24"/>
                <w:highlight w:val="yellow"/>
              </w:rPr>
              <w:t xml:space="preserve"> share</w:t>
            </w:r>
          </w:p>
        </w:tc>
        <w:tc>
          <w:tcPr>
            <w:tcW w:w="2506"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HKD47,000.00</w:t>
            </w:r>
          </w:p>
        </w:tc>
      </w:tr>
    </w:tbl>
    <w:p w:rsidR="007C1A32" w:rsidRDefault="007C1A32">
      <w:pPr>
        <w:rPr>
          <w:b/>
          <w:bCs/>
        </w:rPr>
      </w:pPr>
    </w:p>
    <w:p w:rsidR="00200895" w:rsidRDefault="007A618C" w:rsidP="00200895">
      <w:pPr>
        <w:rPr>
          <w:b/>
          <w:bCs/>
          <w:sz w:val="24"/>
          <w:szCs w:val="24"/>
        </w:rPr>
      </w:pPr>
      <w:r>
        <w:rPr>
          <w:rFonts w:hint="eastAsia"/>
          <w:b/>
          <w:bCs/>
          <w:sz w:val="24"/>
          <w:szCs w:val="24"/>
        </w:rPr>
        <w:t>利息协议锁定期</w:t>
      </w:r>
      <w:r w:rsidR="00200895">
        <w:rPr>
          <w:b/>
          <w:bCs/>
          <w:sz w:val="24"/>
          <w:szCs w:val="24"/>
        </w:rPr>
        <w:t xml:space="preserve"> (</w:t>
      </w:r>
      <w:r w:rsidR="00200895" w:rsidRPr="00FB1844">
        <w:rPr>
          <w:b/>
          <w:bCs/>
          <w:sz w:val="28"/>
          <w:szCs w:val="28"/>
        </w:rPr>
        <w:t xml:space="preserve">Interest </w:t>
      </w:r>
      <w:r w:rsidR="00200895">
        <w:rPr>
          <w:b/>
          <w:bCs/>
          <w:sz w:val="28"/>
          <w:szCs w:val="28"/>
        </w:rPr>
        <w:t>A</w:t>
      </w:r>
      <w:r w:rsidR="00200895" w:rsidRPr="00FB1844">
        <w:rPr>
          <w:b/>
          <w:bCs/>
          <w:sz w:val="28"/>
          <w:szCs w:val="28"/>
        </w:rPr>
        <w:t>greement lock</w:t>
      </w:r>
      <w:r w:rsidR="00200895">
        <w:rPr>
          <w:b/>
          <w:bCs/>
          <w:sz w:val="28"/>
          <w:szCs w:val="28"/>
        </w:rPr>
        <w:t>ing</w:t>
      </w:r>
      <w:r w:rsidR="00200895" w:rsidRPr="00FB1844">
        <w:rPr>
          <w:b/>
          <w:bCs/>
          <w:sz w:val="28"/>
          <w:szCs w:val="28"/>
        </w:rPr>
        <w:t xml:space="preserve"> period</w:t>
      </w:r>
      <w:r w:rsidR="00200895">
        <w:rPr>
          <w:b/>
          <w:bCs/>
          <w:sz w:val="28"/>
          <w:szCs w:val="28"/>
        </w:rPr>
        <w:t>)</w:t>
      </w:r>
    </w:p>
    <w:tbl>
      <w:tblPr>
        <w:tblStyle w:val="TableGrid"/>
        <w:tblW w:w="10080" w:type="dxa"/>
        <w:tblLayout w:type="fixed"/>
        <w:tblLook w:val="04A0"/>
      </w:tblPr>
      <w:tblGrid>
        <w:gridCol w:w="2519"/>
        <w:gridCol w:w="2520"/>
        <w:gridCol w:w="2521"/>
        <w:gridCol w:w="2520"/>
      </w:tblGrid>
      <w:tr w:rsidR="007C1A32" w:rsidTr="00200895">
        <w:trPr>
          <w:trHeight w:val="475"/>
        </w:trPr>
        <w:tc>
          <w:tcPr>
            <w:tcW w:w="5039" w:type="dxa"/>
            <w:gridSpan w:val="2"/>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800" w:firstLine="1928"/>
              <w:rPr>
                <w:b/>
                <w:bCs/>
                <w:color w:val="000000"/>
                <w:sz w:val="24"/>
                <w:szCs w:val="24"/>
                <w:highlight w:val="yellow"/>
              </w:rPr>
            </w:pPr>
            <w:r>
              <w:rPr>
                <w:rFonts w:hint="eastAsia"/>
                <w:b/>
                <w:bCs/>
                <w:color w:val="000000"/>
                <w:sz w:val="24"/>
                <w:szCs w:val="24"/>
                <w:highlight w:val="yellow"/>
              </w:rPr>
              <w:t>18</w:t>
            </w:r>
            <w:r>
              <w:rPr>
                <w:rFonts w:hint="eastAsia"/>
                <w:b/>
                <w:bCs/>
                <w:color w:val="000000"/>
                <w:sz w:val="24"/>
                <w:szCs w:val="24"/>
                <w:highlight w:val="yellow"/>
              </w:rPr>
              <w:t>个月</w:t>
            </w:r>
            <w:r w:rsidR="00200895">
              <w:rPr>
                <w:b/>
                <w:bCs/>
                <w:color w:val="000000"/>
                <w:sz w:val="24"/>
                <w:szCs w:val="24"/>
                <w:highlight w:val="yellow"/>
              </w:rPr>
              <w:t xml:space="preserve"> (18-Month)</w:t>
            </w:r>
          </w:p>
        </w:tc>
        <w:tc>
          <w:tcPr>
            <w:tcW w:w="5041" w:type="dxa"/>
            <w:gridSpan w:val="2"/>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700" w:firstLine="1687"/>
              <w:rPr>
                <w:b/>
                <w:bCs/>
                <w:color w:val="000000"/>
                <w:sz w:val="24"/>
                <w:szCs w:val="24"/>
                <w:highlight w:val="yellow"/>
              </w:rPr>
            </w:pPr>
            <w:r>
              <w:rPr>
                <w:rFonts w:hint="eastAsia"/>
                <w:b/>
                <w:bCs/>
                <w:color w:val="000000"/>
                <w:sz w:val="24"/>
                <w:szCs w:val="24"/>
                <w:highlight w:val="yellow"/>
              </w:rPr>
              <w:t>36</w:t>
            </w:r>
            <w:r>
              <w:rPr>
                <w:rFonts w:hint="eastAsia"/>
                <w:b/>
                <w:bCs/>
                <w:color w:val="000000"/>
                <w:sz w:val="24"/>
                <w:szCs w:val="24"/>
                <w:highlight w:val="yellow"/>
              </w:rPr>
              <w:t>个月</w:t>
            </w:r>
            <w:r w:rsidR="00200895">
              <w:rPr>
                <w:b/>
                <w:bCs/>
                <w:color w:val="000000"/>
                <w:sz w:val="24"/>
                <w:szCs w:val="24"/>
                <w:highlight w:val="yellow"/>
              </w:rPr>
              <w:t xml:space="preserve"> (36-Month)</w:t>
            </w:r>
          </w:p>
        </w:tc>
      </w:tr>
      <w:tr w:rsidR="007C1A32" w:rsidTr="00200895">
        <w:trPr>
          <w:trHeight w:val="475"/>
        </w:trPr>
        <w:tc>
          <w:tcPr>
            <w:tcW w:w="2519"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200" w:firstLine="480"/>
              <w:rPr>
                <w:color w:val="000000"/>
                <w:sz w:val="24"/>
                <w:szCs w:val="24"/>
                <w:highlight w:val="yellow"/>
              </w:rPr>
            </w:pPr>
            <w:r>
              <w:rPr>
                <w:rFonts w:hint="eastAsia"/>
                <w:color w:val="000000"/>
                <w:sz w:val="24"/>
                <w:szCs w:val="24"/>
                <w:highlight w:val="yellow"/>
              </w:rPr>
              <w:t>12</w:t>
            </w:r>
            <w:r>
              <w:rPr>
                <w:rFonts w:hint="eastAsia"/>
                <w:color w:val="000000"/>
                <w:sz w:val="24"/>
                <w:szCs w:val="24"/>
                <w:highlight w:val="yellow"/>
              </w:rPr>
              <w:t>个月</w:t>
            </w:r>
          </w:p>
        </w:tc>
        <w:tc>
          <w:tcPr>
            <w:tcW w:w="2520"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300" w:firstLine="720"/>
              <w:rPr>
                <w:color w:val="000000"/>
                <w:sz w:val="24"/>
                <w:szCs w:val="24"/>
                <w:highlight w:val="yellow"/>
              </w:rPr>
            </w:pPr>
            <w:r>
              <w:rPr>
                <w:rFonts w:hint="eastAsia"/>
                <w:color w:val="000000"/>
                <w:sz w:val="24"/>
                <w:szCs w:val="24"/>
                <w:highlight w:val="yellow"/>
              </w:rPr>
              <w:t>7.8%</w:t>
            </w:r>
          </w:p>
        </w:tc>
        <w:tc>
          <w:tcPr>
            <w:tcW w:w="2521"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300" w:firstLine="720"/>
              <w:rPr>
                <w:color w:val="000000"/>
                <w:sz w:val="24"/>
                <w:szCs w:val="24"/>
                <w:highlight w:val="yellow"/>
              </w:rPr>
            </w:pPr>
            <w:r>
              <w:rPr>
                <w:rFonts w:hint="eastAsia"/>
                <w:color w:val="000000"/>
                <w:sz w:val="24"/>
                <w:szCs w:val="24"/>
                <w:highlight w:val="yellow"/>
              </w:rPr>
              <w:t>12</w:t>
            </w:r>
            <w:r>
              <w:rPr>
                <w:rFonts w:hint="eastAsia"/>
                <w:color w:val="000000"/>
                <w:sz w:val="24"/>
                <w:szCs w:val="24"/>
                <w:highlight w:val="yellow"/>
              </w:rPr>
              <w:t>个月</w:t>
            </w:r>
          </w:p>
        </w:tc>
        <w:tc>
          <w:tcPr>
            <w:tcW w:w="2520"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300" w:firstLine="720"/>
              <w:rPr>
                <w:color w:val="000000"/>
                <w:sz w:val="24"/>
                <w:szCs w:val="24"/>
                <w:highlight w:val="yellow"/>
              </w:rPr>
            </w:pPr>
            <w:r>
              <w:rPr>
                <w:rFonts w:hint="eastAsia"/>
                <w:color w:val="000000"/>
                <w:sz w:val="24"/>
                <w:szCs w:val="24"/>
                <w:highlight w:val="yellow"/>
              </w:rPr>
              <w:t>7.8%</w:t>
            </w:r>
          </w:p>
        </w:tc>
      </w:tr>
      <w:tr w:rsidR="007C1A32" w:rsidTr="00200895">
        <w:trPr>
          <w:trHeight w:val="475"/>
        </w:trPr>
        <w:tc>
          <w:tcPr>
            <w:tcW w:w="2519"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200" w:firstLine="480"/>
              <w:rPr>
                <w:color w:val="000000"/>
                <w:sz w:val="24"/>
                <w:szCs w:val="24"/>
                <w:highlight w:val="yellow"/>
              </w:rPr>
            </w:pPr>
            <w:r>
              <w:rPr>
                <w:rFonts w:hint="eastAsia"/>
                <w:color w:val="000000"/>
                <w:sz w:val="24"/>
                <w:szCs w:val="24"/>
                <w:highlight w:val="yellow"/>
              </w:rPr>
              <w:t>6</w:t>
            </w:r>
            <w:r>
              <w:rPr>
                <w:rFonts w:hint="eastAsia"/>
                <w:color w:val="000000"/>
                <w:sz w:val="24"/>
                <w:szCs w:val="24"/>
                <w:highlight w:val="yellow"/>
              </w:rPr>
              <w:t>个月</w:t>
            </w:r>
          </w:p>
        </w:tc>
        <w:tc>
          <w:tcPr>
            <w:tcW w:w="2520"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300" w:firstLine="720"/>
              <w:rPr>
                <w:color w:val="000000"/>
                <w:sz w:val="24"/>
                <w:szCs w:val="24"/>
                <w:highlight w:val="yellow"/>
              </w:rPr>
            </w:pPr>
            <w:r>
              <w:rPr>
                <w:rFonts w:hint="eastAsia"/>
                <w:color w:val="000000"/>
                <w:sz w:val="24"/>
                <w:szCs w:val="24"/>
                <w:highlight w:val="yellow"/>
              </w:rPr>
              <w:t>3.9%</w:t>
            </w:r>
          </w:p>
        </w:tc>
        <w:tc>
          <w:tcPr>
            <w:tcW w:w="2521"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300" w:firstLine="720"/>
              <w:rPr>
                <w:color w:val="000000"/>
                <w:sz w:val="24"/>
                <w:szCs w:val="24"/>
                <w:highlight w:val="yellow"/>
              </w:rPr>
            </w:pPr>
            <w:r>
              <w:rPr>
                <w:rFonts w:hint="eastAsia"/>
                <w:color w:val="000000"/>
                <w:sz w:val="24"/>
                <w:szCs w:val="24"/>
                <w:highlight w:val="yellow"/>
              </w:rPr>
              <w:t>12</w:t>
            </w:r>
            <w:r>
              <w:rPr>
                <w:rFonts w:hint="eastAsia"/>
                <w:color w:val="000000"/>
                <w:sz w:val="24"/>
                <w:szCs w:val="24"/>
                <w:highlight w:val="yellow"/>
              </w:rPr>
              <w:t>个月</w:t>
            </w:r>
          </w:p>
        </w:tc>
        <w:tc>
          <w:tcPr>
            <w:tcW w:w="2520"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300" w:firstLine="720"/>
              <w:rPr>
                <w:color w:val="000000"/>
                <w:sz w:val="24"/>
                <w:szCs w:val="24"/>
                <w:highlight w:val="yellow"/>
              </w:rPr>
            </w:pPr>
            <w:r>
              <w:rPr>
                <w:rFonts w:hint="eastAsia"/>
                <w:color w:val="000000"/>
                <w:sz w:val="24"/>
                <w:szCs w:val="24"/>
                <w:highlight w:val="yellow"/>
              </w:rPr>
              <w:t>7.8%</w:t>
            </w:r>
          </w:p>
        </w:tc>
      </w:tr>
      <w:tr w:rsidR="007C1A32" w:rsidTr="00200895">
        <w:trPr>
          <w:trHeight w:val="539"/>
        </w:trPr>
        <w:tc>
          <w:tcPr>
            <w:tcW w:w="2519"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C1A32">
            <w:pPr>
              <w:ind w:firstLineChars="200" w:firstLine="480"/>
              <w:rPr>
                <w:color w:val="000000"/>
                <w:sz w:val="24"/>
                <w:szCs w:val="24"/>
                <w:highlight w:val="yellow"/>
              </w:rPr>
            </w:pPr>
          </w:p>
        </w:tc>
        <w:tc>
          <w:tcPr>
            <w:tcW w:w="2520"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C1A32">
            <w:pPr>
              <w:ind w:firstLineChars="300" w:firstLine="720"/>
              <w:rPr>
                <w:color w:val="000000"/>
                <w:sz w:val="24"/>
                <w:szCs w:val="24"/>
                <w:highlight w:val="yellow"/>
              </w:rPr>
            </w:pPr>
          </w:p>
        </w:tc>
        <w:tc>
          <w:tcPr>
            <w:tcW w:w="2521"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300" w:firstLine="720"/>
              <w:rPr>
                <w:color w:val="000000"/>
                <w:sz w:val="24"/>
                <w:szCs w:val="24"/>
                <w:highlight w:val="yellow"/>
              </w:rPr>
            </w:pPr>
            <w:r>
              <w:rPr>
                <w:rFonts w:hint="eastAsia"/>
                <w:color w:val="000000"/>
                <w:sz w:val="24"/>
                <w:szCs w:val="24"/>
                <w:highlight w:val="yellow"/>
              </w:rPr>
              <w:t>12</w:t>
            </w:r>
            <w:r>
              <w:rPr>
                <w:rFonts w:hint="eastAsia"/>
                <w:color w:val="000000"/>
                <w:sz w:val="24"/>
                <w:szCs w:val="24"/>
                <w:highlight w:val="yellow"/>
              </w:rPr>
              <w:t>个月</w:t>
            </w:r>
          </w:p>
        </w:tc>
        <w:tc>
          <w:tcPr>
            <w:tcW w:w="2520"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300" w:firstLine="720"/>
              <w:rPr>
                <w:color w:val="000000"/>
                <w:sz w:val="24"/>
                <w:szCs w:val="24"/>
                <w:highlight w:val="yellow"/>
              </w:rPr>
            </w:pPr>
            <w:r>
              <w:rPr>
                <w:rFonts w:hint="eastAsia"/>
                <w:color w:val="000000"/>
                <w:sz w:val="24"/>
                <w:szCs w:val="24"/>
                <w:highlight w:val="yellow"/>
              </w:rPr>
              <w:t>7.8%</w:t>
            </w:r>
          </w:p>
        </w:tc>
      </w:tr>
    </w:tbl>
    <w:p w:rsidR="007C1A32" w:rsidRDefault="007A618C" w:rsidP="003358A5">
      <w:pPr>
        <w:pStyle w:val="PlainText"/>
        <w:rPr>
          <w:rFonts w:ascii="MS Mincho" w:eastAsia="MS Mincho" w:hAnsi="MS Mincho" w:cs="MS Mincho"/>
        </w:rPr>
      </w:pPr>
      <w:r>
        <w:rPr>
          <w:rFonts w:ascii="PMingLiU" w:eastAsia="PMingLiU" w:hAnsi="PMingLiU" w:cs="PMingLiU" w:hint="eastAsia"/>
        </w:rPr>
        <w:t>该基金企图达成提供每年</w:t>
      </w:r>
      <w:r>
        <w:rPr>
          <w:rFonts w:hint="eastAsia"/>
        </w:rPr>
        <w:t>7.8%</w:t>
      </w:r>
      <w:r>
        <w:rPr>
          <w:rFonts w:ascii="MS Mincho" w:eastAsia="MS Mincho" w:hAnsi="MS Mincho" w:cs="MS Mincho" w:hint="eastAsia"/>
        </w:rPr>
        <w:t>的定期收入的目的。</w:t>
      </w:r>
    </w:p>
    <w:p w:rsidR="003358A5" w:rsidRPr="00DF0429" w:rsidRDefault="003358A5" w:rsidP="003358A5">
      <w:pPr>
        <w:pStyle w:val="PlainText"/>
        <w:rPr>
          <w:sz w:val="24"/>
          <w:szCs w:val="24"/>
        </w:rPr>
      </w:pPr>
      <w:r w:rsidRPr="00DF0429">
        <w:rPr>
          <w:sz w:val="24"/>
          <w:szCs w:val="24"/>
        </w:rPr>
        <w:t>The fund are achieve to provide 7.8% of fixed interest rate each year</w:t>
      </w:r>
    </w:p>
    <w:p w:rsidR="007C1A32" w:rsidRDefault="007C1A32">
      <w:pPr>
        <w:rPr>
          <w:b/>
          <w:bCs/>
        </w:rPr>
      </w:pPr>
    </w:p>
    <w:p w:rsidR="00200895" w:rsidRPr="00EC79F9" w:rsidRDefault="007A618C" w:rsidP="00200895">
      <w:pPr>
        <w:rPr>
          <w:b/>
          <w:bCs/>
          <w:sz w:val="28"/>
          <w:szCs w:val="28"/>
        </w:rPr>
      </w:pPr>
      <w:r>
        <w:rPr>
          <w:rFonts w:hint="eastAsia"/>
          <w:b/>
          <w:bCs/>
          <w:sz w:val="24"/>
          <w:szCs w:val="24"/>
        </w:rPr>
        <w:t>演出获利比率</w:t>
      </w:r>
      <w:r w:rsidR="00200895">
        <w:rPr>
          <w:b/>
          <w:bCs/>
          <w:sz w:val="24"/>
          <w:szCs w:val="24"/>
        </w:rPr>
        <w:t xml:space="preserve"> </w:t>
      </w:r>
      <w:r w:rsidR="00200895" w:rsidRPr="00EC79F9">
        <w:rPr>
          <w:b/>
          <w:bCs/>
          <w:sz w:val="28"/>
          <w:szCs w:val="28"/>
        </w:rPr>
        <w:t>(Performance</w:t>
      </w:r>
      <w:r w:rsidR="00200895">
        <w:rPr>
          <w:b/>
          <w:bCs/>
          <w:sz w:val="28"/>
          <w:szCs w:val="28"/>
        </w:rPr>
        <w:t xml:space="preserve"> Fee</w:t>
      </w:r>
      <w:r w:rsidR="00054316">
        <w:rPr>
          <w:b/>
          <w:bCs/>
          <w:sz w:val="28"/>
          <w:szCs w:val="28"/>
        </w:rPr>
        <w:t xml:space="preserve"> P</w:t>
      </w:r>
      <w:r w:rsidR="00200895" w:rsidRPr="00EC79F9">
        <w:rPr>
          <w:b/>
          <w:bCs/>
          <w:sz w:val="28"/>
          <w:szCs w:val="28"/>
        </w:rPr>
        <w:t>rofit ratio</w:t>
      </w:r>
      <w:r w:rsidR="00200895">
        <w:rPr>
          <w:b/>
          <w:bCs/>
          <w:sz w:val="28"/>
          <w:szCs w:val="28"/>
        </w:rPr>
        <w:t>)</w:t>
      </w:r>
    </w:p>
    <w:tbl>
      <w:tblPr>
        <w:tblStyle w:val="TableGrid"/>
        <w:tblW w:w="10060" w:type="dxa"/>
        <w:tblLayout w:type="fixed"/>
        <w:tblLook w:val="04A0"/>
      </w:tblPr>
      <w:tblGrid>
        <w:gridCol w:w="5030"/>
        <w:gridCol w:w="5030"/>
      </w:tblGrid>
      <w:tr w:rsidR="007C1A32">
        <w:trPr>
          <w:trHeight w:val="420"/>
        </w:trPr>
        <w:tc>
          <w:tcPr>
            <w:tcW w:w="5030"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700" w:firstLine="1687"/>
              <w:rPr>
                <w:b/>
                <w:bCs/>
                <w:color w:val="000000"/>
                <w:sz w:val="24"/>
                <w:szCs w:val="24"/>
                <w:highlight w:val="yellow"/>
              </w:rPr>
            </w:pPr>
            <w:r>
              <w:rPr>
                <w:rFonts w:hint="eastAsia"/>
                <w:b/>
                <w:bCs/>
                <w:color w:val="000000"/>
                <w:sz w:val="24"/>
                <w:szCs w:val="24"/>
                <w:highlight w:val="yellow"/>
              </w:rPr>
              <w:t>认购者</w:t>
            </w:r>
            <w:r w:rsidR="00200895">
              <w:rPr>
                <w:b/>
                <w:bCs/>
                <w:color w:val="000000"/>
                <w:sz w:val="24"/>
                <w:szCs w:val="24"/>
                <w:highlight w:val="yellow"/>
              </w:rPr>
              <w:t xml:space="preserve"> (Subscriber)</w:t>
            </w:r>
          </w:p>
        </w:tc>
        <w:tc>
          <w:tcPr>
            <w:tcW w:w="5030"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200895" w:rsidP="00200895">
            <w:pPr>
              <w:rPr>
                <w:b/>
                <w:bCs/>
                <w:color w:val="000000"/>
                <w:sz w:val="24"/>
                <w:szCs w:val="24"/>
                <w:highlight w:val="yellow"/>
              </w:rPr>
            </w:pPr>
            <w:r>
              <w:rPr>
                <w:b/>
                <w:bCs/>
                <w:color w:val="000000"/>
                <w:sz w:val="24"/>
                <w:szCs w:val="24"/>
                <w:highlight w:val="yellow"/>
              </w:rPr>
              <w:t xml:space="preserve">       </w:t>
            </w:r>
            <w:r w:rsidR="007A618C">
              <w:rPr>
                <w:rFonts w:hint="eastAsia"/>
                <w:b/>
                <w:bCs/>
                <w:color w:val="000000"/>
                <w:sz w:val="24"/>
                <w:szCs w:val="24"/>
                <w:highlight w:val="yellow"/>
              </w:rPr>
              <w:t>基金会</w:t>
            </w:r>
            <w:r>
              <w:rPr>
                <w:b/>
                <w:bCs/>
                <w:color w:val="000000"/>
                <w:sz w:val="24"/>
                <w:szCs w:val="24"/>
                <w:highlight w:val="yellow"/>
              </w:rPr>
              <w:t xml:space="preserve"> (Fund Management)</w:t>
            </w:r>
          </w:p>
        </w:tc>
      </w:tr>
      <w:tr w:rsidR="007C1A32">
        <w:trPr>
          <w:trHeight w:val="488"/>
        </w:trPr>
        <w:tc>
          <w:tcPr>
            <w:tcW w:w="5030"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800" w:firstLine="1920"/>
              <w:rPr>
                <w:color w:val="000000"/>
                <w:sz w:val="24"/>
                <w:szCs w:val="24"/>
                <w:highlight w:val="yellow"/>
              </w:rPr>
            </w:pPr>
            <w:r>
              <w:rPr>
                <w:rFonts w:hint="eastAsia"/>
                <w:color w:val="000000"/>
                <w:sz w:val="24"/>
                <w:szCs w:val="24"/>
                <w:highlight w:val="yellow"/>
              </w:rPr>
              <w:t>70%</w:t>
            </w:r>
          </w:p>
        </w:tc>
        <w:tc>
          <w:tcPr>
            <w:tcW w:w="5030"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900" w:firstLine="2160"/>
              <w:rPr>
                <w:color w:val="000000"/>
                <w:sz w:val="24"/>
                <w:szCs w:val="24"/>
                <w:highlight w:val="yellow"/>
              </w:rPr>
            </w:pPr>
            <w:r>
              <w:rPr>
                <w:rFonts w:hint="eastAsia"/>
                <w:color w:val="000000"/>
                <w:sz w:val="24"/>
                <w:szCs w:val="24"/>
                <w:highlight w:val="yellow"/>
              </w:rPr>
              <w:t>30%</w:t>
            </w:r>
          </w:p>
        </w:tc>
      </w:tr>
    </w:tbl>
    <w:p w:rsidR="007C1A32" w:rsidRDefault="007A618C" w:rsidP="003358A5">
      <w:pPr>
        <w:pStyle w:val="PlainText"/>
        <w:rPr>
          <w:rFonts w:ascii="PMingLiU" w:eastAsia="PMingLiU" w:hAnsi="PMingLiU" w:cs="PMingLiU"/>
        </w:rPr>
      </w:pPr>
      <w:r>
        <w:rPr>
          <w:rFonts w:ascii="PMingLiU" w:eastAsia="PMingLiU" w:hAnsi="PMingLiU" w:cs="PMingLiU" w:hint="eastAsia"/>
        </w:rPr>
        <w:t>业绩费用必须是该基金在该业绩期间的资产净值升值的百分之三十</w:t>
      </w:r>
      <w:r>
        <w:rPr>
          <w:rFonts w:hint="eastAsia"/>
        </w:rPr>
        <w:t>30%</w:t>
      </w:r>
      <w:r>
        <w:rPr>
          <w:rFonts w:ascii="MS Mincho" w:eastAsia="MS Mincho" w:hAnsi="MS Mincho" w:cs="MS Mincho" w:hint="eastAsia"/>
        </w:rPr>
        <w:t>任何</w:t>
      </w:r>
      <w:r>
        <w:rPr>
          <w:rFonts w:ascii="PMingLiU" w:eastAsia="PMingLiU" w:hAnsi="PMingLiU" w:cs="PMingLiU" w:hint="eastAsia"/>
        </w:rPr>
        <w:t>买回及分发的调整。</w:t>
      </w:r>
    </w:p>
    <w:p w:rsidR="003358A5" w:rsidRPr="00DF0429" w:rsidRDefault="003358A5" w:rsidP="003358A5">
      <w:pPr>
        <w:rPr>
          <w:bCs/>
          <w:sz w:val="24"/>
          <w:szCs w:val="24"/>
        </w:rPr>
      </w:pPr>
      <w:r w:rsidRPr="00DF0429">
        <w:rPr>
          <w:bCs/>
          <w:sz w:val="24"/>
          <w:szCs w:val="24"/>
        </w:rPr>
        <w:t>The performance fee must be 30% of the fund's Net Asset Value (NAV) during that performance period and with any dealing adjustments in conditions.</w:t>
      </w:r>
    </w:p>
    <w:p w:rsidR="003358A5" w:rsidRDefault="003358A5" w:rsidP="003358A5">
      <w:pPr>
        <w:pStyle w:val="PlainText"/>
        <w:rPr>
          <w:b/>
          <w:bCs/>
          <w:highlight w:val="yellow"/>
        </w:rPr>
      </w:pPr>
    </w:p>
    <w:p w:rsidR="00200895" w:rsidRDefault="007A618C" w:rsidP="00200895">
      <w:pPr>
        <w:rPr>
          <w:sz w:val="24"/>
          <w:szCs w:val="24"/>
        </w:rPr>
      </w:pPr>
      <w:r>
        <w:rPr>
          <w:rFonts w:hint="eastAsia"/>
          <w:b/>
          <w:bCs/>
          <w:sz w:val="24"/>
          <w:szCs w:val="24"/>
        </w:rPr>
        <w:lastRenderedPageBreak/>
        <w:t>预期项目涨势分析</w:t>
      </w:r>
      <w:r w:rsidR="00200895">
        <w:rPr>
          <w:b/>
          <w:bCs/>
          <w:sz w:val="24"/>
          <w:szCs w:val="24"/>
        </w:rPr>
        <w:t xml:space="preserve"> (</w:t>
      </w:r>
      <w:r w:rsidR="00200895" w:rsidRPr="00EC79F9">
        <w:rPr>
          <w:b/>
          <w:bCs/>
          <w:sz w:val="28"/>
          <w:szCs w:val="28"/>
        </w:rPr>
        <w:t xml:space="preserve">Expected </w:t>
      </w:r>
      <w:r w:rsidR="003358A5">
        <w:rPr>
          <w:b/>
          <w:bCs/>
          <w:sz w:val="28"/>
          <w:szCs w:val="28"/>
        </w:rPr>
        <w:t xml:space="preserve">Inflation </w:t>
      </w:r>
      <w:r w:rsidR="00200895">
        <w:rPr>
          <w:b/>
          <w:bCs/>
          <w:sz w:val="28"/>
          <w:szCs w:val="28"/>
        </w:rPr>
        <w:t>A</w:t>
      </w:r>
      <w:r w:rsidR="00200895" w:rsidRPr="00EC79F9">
        <w:rPr>
          <w:b/>
          <w:bCs/>
          <w:sz w:val="28"/>
          <w:szCs w:val="28"/>
        </w:rPr>
        <w:t>nalysis</w:t>
      </w:r>
      <w:r w:rsidR="00200895">
        <w:rPr>
          <w:b/>
          <w:bCs/>
          <w:sz w:val="28"/>
          <w:szCs w:val="28"/>
        </w:rPr>
        <w:t>)</w:t>
      </w:r>
    </w:p>
    <w:tbl>
      <w:tblPr>
        <w:tblStyle w:val="TableGrid"/>
        <w:tblW w:w="10060" w:type="dxa"/>
        <w:tblLayout w:type="fixed"/>
        <w:tblLook w:val="04A0"/>
      </w:tblPr>
      <w:tblGrid>
        <w:gridCol w:w="5030"/>
        <w:gridCol w:w="5030"/>
      </w:tblGrid>
      <w:tr w:rsidR="007C1A32">
        <w:trPr>
          <w:trHeight w:val="403"/>
        </w:trPr>
        <w:tc>
          <w:tcPr>
            <w:tcW w:w="5030"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200895" w:rsidP="00200895">
            <w:pPr>
              <w:rPr>
                <w:b/>
                <w:bCs/>
                <w:color w:val="000000"/>
                <w:sz w:val="24"/>
                <w:szCs w:val="24"/>
                <w:highlight w:val="yellow"/>
              </w:rPr>
            </w:pPr>
            <w:r>
              <w:rPr>
                <w:b/>
                <w:bCs/>
                <w:color w:val="000000"/>
                <w:sz w:val="24"/>
                <w:szCs w:val="24"/>
                <w:highlight w:val="yellow"/>
              </w:rPr>
              <w:t xml:space="preserve">         </w:t>
            </w:r>
            <w:r w:rsidR="007A618C">
              <w:rPr>
                <w:rFonts w:hint="eastAsia"/>
                <w:b/>
                <w:bCs/>
                <w:color w:val="000000"/>
                <w:sz w:val="24"/>
                <w:szCs w:val="24"/>
                <w:highlight w:val="yellow"/>
              </w:rPr>
              <w:t>18</w:t>
            </w:r>
            <w:r w:rsidR="007A618C">
              <w:rPr>
                <w:rFonts w:hint="eastAsia"/>
                <w:b/>
                <w:bCs/>
                <w:color w:val="000000"/>
                <w:sz w:val="24"/>
                <w:szCs w:val="24"/>
                <w:highlight w:val="yellow"/>
              </w:rPr>
              <w:t>个月</w:t>
            </w:r>
            <w:r>
              <w:rPr>
                <w:b/>
                <w:bCs/>
                <w:color w:val="000000"/>
                <w:sz w:val="24"/>
                <w:szCs w:val="24"/>
                <w:highlight w:val="yellow"/>
              </w:rPr>
              <w:t xml:space="preserve"> (18-Month)</w:t>
            </w:r>
          </w:p>
        </w:tc>
        <w:tc>
          <w:tcPr>
            <w:tcW w:w="5030"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200895" w:rsidP="00200895">
            <w:pPr>
              <w:rPr>
                <w:b/>
                <w:bCs/>
                <w:color w:val="000000"/>
                <w:sz w:val="24"/>
                <w:szCs w:val="24"/>
                <w:highlight w:val="yellow"/>
              </w:rPr>
            </w:pPr>
            <w:r>
              <w:rPr>
                <w:b/>
                <w:bCs/>
                <w:color w:val="000000"/>
                <w:sz w:val="24"/>
                <w:szCs w:val="24"/>
                <w:highlight w:val="yellow"/>
              </w:rPr>
              <w:t xml:space="preserve">        </w:t>
            </w:r>
            <w:r w:rsidR="007A618C">
              <w:rPr>
                <w:rFonts w:hint="eastAsia"/>
                <w:b/>
                <w:bCs/>
                <w:color w:val="000000"/>
                <w:sz w:val="24"/>
                <w:szCs w:val="24"/>
                <w:highlight w:val="yellow"/>
              </w:rPr>
              <w:t>36</w:t>
            </w:r>
            <w:r w:rsidR="007A618C">
              <w:rPr>
                <w:rFonts w:hint="eastAsia"/>
                <w:b/>
                <w:bCs/>
                <w:color w:val="000000"/>
                <w:sz w:val="24"/>
                <w:szCs w:val="24"/>
                <w:highlight w:val="yellow"/>
              </w:rPr>
              <w:t>个月</w:t>
            </w:r>
            <w:r>
              <w:rPr>
                <w:b/>
                <w:bCs/>
                <w:color w:val="000000"/>
                <w:sz w:val="24"/>
                <w:szCs w:val="24"/>
                <w:highlight w:val="yellow"/>
              </w:rPr>
              <w:t xml:space="preserve"> (36-Month)</w:t>
            </w:r>
          </w:p>
        </w:tc>
      </w:tr>
      <w:tr w:rsidR="007C1A32">
        <w:trPr>
          <w:trHeight w:val="457"/>
        </w:trPr>
        <w:tc>
          <w:tcPr>
            <w:tcW w:w="5030"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700" w:firstLine="1680"/>
              <w:rPr>
                <w:color w:val="000000"/>
                <w:sz w:val="24"/>
                <w:szCs w:val="24"/>
                <w:highlight w:val="yellow"/>
              </w:rPr>
            </w:pPr>
            <w:r>
              <w:rPr>
                <w:rFonts w:hint="eastAsia"/>
                <w:color w:val="000000"/>
                <w:sz w:val="24"/>
                <w:szCs w:val="24"/>
                <w:highlight w:val="yellow"/>
              </w:rPr>
              <w:t>8%~15%++</w:t>
            </w:r>
          </w:p>
        </w:tc>
        <w:tc>
          <w:tcPr>
            <w:tcW w:w="5030"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600" w:firstLine="1440"/>
              <w:rPr>
                <w:color w:val="000000"/>
                <w:sz w:val="24"/>
                <w:szCs w:val="24"/>
                <w:highlight w:val="yellow"/>
              </w:rPr>
            </w:pPr>
            <w:r>
              <w:rPr>
                <w:rFonts w:hint="eastAsia"/>
                <w:color w:val="000000"/>
                <w:sz w:val="24"/>
                <w:szCs w:val="24"/>
                <w:highlight w:val="yellow"/>
              </w:rPr>
              <w:t>24%~45%++</w:t>
            </w:r>
          </w:p>
        </w:tc>
      </w:tr>
    </w:tbl>
    <w:p w:rsidR="007C1A32" w:rsidRDefault="007A618C" w:rsidP="003358A5">
      <w:pPr>
        <w:pStyle w:val="PlainText"/>
        <w:rPr>
          <w:rFonts w:ascii="PMingLiU" w:eastAsia="PMingLiU" w:hAnsi="PMingLiU" w:cs="PMingLiU"/>
        </w:rPr>
      </w:pPr>
      <w:r>
        <w:rPr>
          <w:rFonts w:ascii="MS Mincho" w:eastAsia="MS Mincho" w:hAnsi="MS Mincho" w:cs="MS Mincho" w:hint="eastAsia"/>
        </w:rPr>
        <w:t>根据</w:t>
      </w:r>
      <w:r>
        <w:rPr>
          <w:rFonts w:ascii="PMingLiU" w:eastAsia="PMingLiU" w:hAnsi="PMingLiU" w:cs="PMingLiU" w:hint="eastAsia"/>
        </w:rPr>
        <w:t>项目涨势预测。</w:t>
      </w:r>
    </w:p>
    <w:p w:rsidR="003358A5" w:rsidRDefault="003358A5" w:rsidP="003358A5">
      <w:pPr>
        <w:pStyle w:val="PlainText"/>
      </w:pPr>
      <w:r>
        <w:t>Expected Inflation rate based on Forecast.</w:t>
      </w:r>
    </w:p>
    <w:p w:rsidR="007C1A32" w:rsidRDefault="007C1A32">
      <w:pPr>
        <w:rPr>
          <w:b/>
          <w:bCs/>
        </w:rPr>
      </w:pPr>
    </w:p>
    <w:p w:rsidR="007C1A32" w:rsidRPr="00200895" w:rsidRDefault="007A618C">
      <w:pPr>
        <w:rPr>
          <w:b/>
          <w:bCs/>
          <w:sz w:val="24"/>
          <w:szCs w:val="24"/>
        </w:rPr>
      </w:pPr>
      <w:r>
        <w:rPr>
          <w:rFonts w:hint="eastAsia"/>
          <w:b/>
          <w:bCs/>
          <w:sz w:val="24"/>
          <w:szCs w:val="24"/>
        </w:rPr>
        <w:t>预期项目涨势分析资产</w:t>
      </w:r>
      <w:r w:rsidR="00200895">
        <w:rPr>
          <w:b/>
          <w:bCs/>
          <w:sz w:val="24"/>
          <w:szCs w:val="24"/>
        </w:rPr>
        <w:t xml:space="preserve"> (</w:t>
      </w:r>
      <w:r w:rsidR="00200895" w:rsidRPr="00EC79F9">
        <w:rPr>
          <w:b/>
          <w:bCs/>
          <w:sz w:val="28"/>
          <w:szCs w:val="28"/>
        </w:rPr>
        <w:t xml:space="preserve">Expected </w:t>
      </w:r>
      <w:r w:rsidR="00200895">
        <w:rPr>
          <w:b/>
          <w:bCs/>
          <w:sz w:val="28"/>
          <w:szCs w:val="28"/>
        </w:rPr>
        <w:t>Assets Analysis)</w:t>
      </w:r>
    </w:p>
    <w:tbl>
      <w:tblPr>
        <w:tblStyle w:val="TableGrid"/>
        <w:tblpPr w:leftFromText="180" w:rightFromText="180" w:vertAnchor="text" w:horzAnchor="page" w:tblpX="1077" w:tblpY="98"/>
        <w:tblOverlap w:val="never"/>
        <w:tblW w:w="9880" w:type="dxa"/>
        <w:tblLayout w:type="fixed"/>
        <w:tblLook w:val="04A0"/>
      </w:tblPr>
      <w:tblGrid>
        <w:gridCol w:w="1759"/>
        <w:gridCol w:w="1216"/>
        <w:gridCol w:w="2033"/>
        <w:gridCol w:w="2033"/>
        <w:gridCol w:w="1240"/>
        <w:gridCol w:w="1599"/>
      </w:tblGrid>
      <w:tr w:rsidR="007C1A32">
        <w:trPr>
          <w:trHeight w:val="339"/>
        </w:trPr>
        <w:tc>
          <w:tcPr>
            <w:tcW w:w="5008" w:type="dxa"/>
            <w:gridSpan w:val="3"/>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400" w:firstLine="964"/>
              <w:rPr>
                <w:b/>
                <w:bCs/>
                <w:color w:val="000000"/>
                <w:sz w:val="24"/>
                <w:szCs w:val="24"/>
              </w:rPr>
            </w:pPr>
            <w:r>
              <w:rPr>
                <w:rFonts w:hint="eastAsia"/>
                <w:b/>
                <w:bCs/>
                <w:color w:val="000000"/>
                <w:sz w:val="24"/>
                <w:szCs w:val="24"/>
              </w:rPr>
              <w:t>认购者</w:t>
            </w:r>
            <w:r>
              <w:rPr>
                <w:rFonts w:hint="eastAsia"/>
                <w:b/>
                <w:bCs/>
                <w:color w:val="000000"/>
                <w:sz w:val="24"/>
                <w:szCs w:val="24"/>
              </w:rPr>
              <w:t>18</w:t>
            </w:r>
            <w:r>
              <w:rPr>
                <w:rFonts w:hint="eastAsia"/>
                <w:b/>
                <w:bCs/>
                <w:color w:val="000000"/>
                <w:sz w:val="24"/>
                <w:szCs w:val="24"/>
              </w:rPr>
              <w:t>个月预期资产</w:t>
            </w:r>
          </w:p>
          <w:p w:rsidR="00200895" w:rsidRDefault="00200895" w:rsidP="00200895">
            <w:pPr>
              <w:rPr>
                <w:b/>
                <w:bCs/>
                <w:color w:val="000000"/>
                <w:sz w:val="24"/>
                <w:szCs w:val="24"/>
              </w:rPr>
            </w:pPr>
            <w:r>
              <w:rPr>
                <w:b/>
                <w:bCs/>
                <w:color w:val="000000"/>
                <w:sz w:val="24"/>
                <w:szCs w:val="24"/>
              </w:rPr>
              <w:t xml:space="preserve">   (</w:t>
            </w:r>
            <w:r w:rsidRPr="00EC79F9">
              <w:rPr>
                <w:b/>
                <w:bCs/>
                <w:color w:val="000000"/>
                <w:sz w:val="24"/>
                <w:szCs w:val="24"/>
              </w:rPr>
              <w:t>Subscriber's 18-month expected assets</w:t>
            </w:r>
            <w:r>
              <w:rPr>
                <w:b/>
                <w:bCs/>
                <w:color w:val="000000"/>
                <w:sz w:val="24"/>
                <w:szCs w:val="24"/>
              </w:rPr>
              <w:t>)</w:t>
            </w:r>
          </w:p>
        </w:tc>
        <w:tc>
          <w:tcPr>
            <w:tcW w:w="4872" w:type="dxa"/>
            <w:gridSpan w:val="3"/>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500" w:firstLine="1205"/>
              <w:rPr>
                <w:b/>
                <w:bCs/>
                <w:color w:val="000000"/>
                <w:sz w:val="24"/>
                <w:szCs w:val="24"/>
              </w:rPr>
            </w:pPr>
            <w:r>
              <w:rPr>
                <w:rFonts w:hint="eastAsia"/>
                <w:b/>
                <w:bCs/>
                <w:color w:val="000000"/>
                <w:sz w:val="24"/>
                <w:szCs w:val="24"/>
              </w:rPr>
              <w:t>认购者</w:t>
            </w:r>
            <w:r>
              <w:rPr>
                <w:rFonts w:hint="eastAsia"/>
                <w:b/>
                <w:bCs/>
                <w:color w:val="000000"/>
                <w:sz w:val="24"/>
                <w:szCs w:val="24"/>
              </w:rPr>
              <w:t>36</w:t>
            </w:r>
            <w:r>
              <w:rPr>
                <w:rFonts w:hint="eastAsia"/>
                <w:b/>
                <w:bCs/>
                <w:color w:val="000000"/>
                <w:sz w:val="24"/>
                <w:szCs w:val="24"/>
              </w:rPr>
              <w:t>个月预期资产</w:t>
            </w:r>
          </w:p>
          <w:p w:rsidR="00200895" w:rsidRDefault="00200895" w:rsidP="00200895">
            <w:pPr>
              <w:rPr>
                <w:b/>
                <w:bCs/>
                <w:color w:val="000000"/>
                <w:sz w:val="24"/>
                <w:szCs w:val="24"/>
              </w:rPr>
            </w:pPr>
            <w:r>
              <w:rPr>
                <w:b/>
                <w:bCs/>
                <w:color w:val="000000"/>
                <w:sz w:val="24"/>
                <w:szCs w:val="24"/>
              </w:rPr>
              <w:t xml:space="preserve">   (Subscriber's 36</w:t>
            </w:r>
            <w:r w:rsidRPr="00EC79F9">
              <w:rPr>
                <w:b/>
                <w:bCs/>
                <w:color w:val="000000"/>
                <w:sz w:val="24"/>
                <w:szCs w:val="24"/>
              </w:rPr>
              <w:t>-month expected assets</w:t>
            </w:r>
            <w:r>
              <w:rPr>
                <w:b/>
                <w:bCs/>
                <w:color w:val="000000"/>
                <w:sz w:val="24"/>
                <w:szCs w:val="24"/>
              </w:rPr>
              <w:t>)</w:t>
            </w:r>
          </w:p>
        </w:tc>
      </w:tr>
      <w:tr w:rsidR="007C1A32">
        <w:trPr>
          <w:trHeight w:val="590"/>
        </w:trPr>
        <w:tc>
          <w:tcPr>
            <w:tcW w:w="1759"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rPr>
                <w:color w:val="000000"/>
                <w:sz w:val="24"/>
                <w:szCs w:val="24"/>
              </w:rPr>
            </w:pPr>
            <w:r>
              <w:rPr>
                <w:rFonts w:hint="eastAsia"/>
                <w:color w:val="000000"/>
                <w:sz w:val="24"/>
                <w:szCs w:val="24"/>
              </w:rPr>
              <w:t>4,700,000.00</w:t>
            </w:r>
          </w:p>
        </w:tc>
        <w:tc>
          <w:tcPr>
            <w:tcW w:w="1216"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rPr>
                <w:color w:val="000000"/>
                <w:sz w:val="24"/>
                <w:szCs w:val="24"/>
              </w:rPr>
            </w:pPr>
            <w:r>
              <w:rPr>
                <w:rFonts w:hint="eastAsia"/>
                <w:color w:val="000000"/>
                <w:sz w:val="24"/>
                <w:szCs w:val="24"/>
              </w:rPr>
              <w:t xml:space="preserve">     8%</w:t>
            </w:r>
          </w:p>
        </w:tc>
        <w:tc>
          <w:tcPr>
            <w:tcW w:w="2033"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100" w:firstLine="240"/>
              <w:rPr>
                <w:color w:val="000000"/>
                <w:sz w:val="24"/>
                <w:szCs w:val="24"/>
              </w:rPr>
            </w:pPr>
            <w:r>
              <w:rPr>
                <w:rFonts w:hint="eastAsia"/>
                <w:color w:val="000000"/>
                <w:sz w:val="24"/>
                <w:szCs w:val="24"/>
              </w:rPr>
              <w:t>376,000.00</w:t>
            </w:r>
          </w:p>
        </w:tc>
        <w:tc>
          <w:tcPr>
            <w:tcW w:w="2033"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rPr>
                <w:color w:val="000000"/>
                <w:sz w:val="24"/>
                <w:szCs w:val="24"/>
              </w:rPr>
            </w:pPr>
            <w:r>
              <w:rPr>
                <w:rFonts w:hint="eastAsia"/>
                <w:color w:val="000000"/>
                <w:sz w:val="24"/>
                <w:szCs w:val="24"/>
              </w:rPr>
              <w:t>4,700,000.00</w:t>
            </w:r>
          </w:p>
        </w:tc>
        <w:tc>
          <w:tcPr>
            <w:tcW w:w="1240"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200" w:firstLine="480"/>
              <w:rPr>
                <w:color w:val="000000"/>
                <w:sz w:val="24"/>
                <w:szCs w:val="24"/>
              </w:rPr>
            </w:pPr>
            <w:r>
              <w:rPr>
                <w:rFonts w:hint="eastAsia"/>
                <w:color w:val="000000"/>
                <w:sz w:val="24"/>
                <w:szCs w:val="24"/>
              </w:rPr>
              <w:t>24%</w:t>
            </w:r>
          </w:p>
        </w:tc>
        <w:tc>
          <w:tcPr>
            <w:tcW w:w="1599"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rPr>
                <w:color w:val="000000"/>
                <w:sz w:val="24"/>
                <w:szCs w:val="24"/>
              </w:rPr>
            </w:pPr>
            <w:r>
              <w:rPr>
                <w:rFonts w:hint="eastAsia"/>
                <w:color w:val="000000"/>
                <w:sz w:val="24"/>
                <w:szCs w:val="24"/>
              </w:rPr>
              <w:t>1,128,000.00</w:t>
            </w:r>
          </w:p>
        </w:tc>
      </w:tr>
      <w:tr w:rsidR="007C1A32">
        <w:trPr>
          <w:trHeight w:val="644"/>
        </w:trPr>
        <w:tc>
          <w:tcPr>
            <w:tcW w:w="1759"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rPr>
                <w:color w:val="000000"/>
                <w:sz w:val="24"/>
                <w:szCs w:val="24"/>
              </w:rPr>
            </w:pPr>
            <w:r>
              <w:rPr>
                <w:rFonts w:hint="eastAsia"/>
                <w:color w:val="000000"/>
                <w:sz w:val="24"/>
                <w:szCs w:val="24"/>
              </w:rPr>
              <w:t>4,700,000.00</w:t>
            </w:r>
          </w:p>
        </w:tc>
        <w:tc>
          <w:tcPr>
            <w:tcW w:w="1216"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200" w:firstLine="480"/>
              <w:rPr>
                <w:color w:val="000000"/>
                <w:sz w:val="24"/>
                <w:szCs w:val="24"/>
              </w:rPr>
            </w:pPr>
            <w:r>
              <w:rPr>
                <w:rFonts w:hint="eastAsia"/>
                <w:color w:val="000000"/>
                <w:sz w:val="24"/>
                <w:szCs w:val="24"/>
              </w:rPr>
              <w:t>15%</w:t>
            </w:r>
          </w:p>
        </w:tc>
        <w:tc>
          <w:tcPr>
            <w:tcW w:w="2033"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100" w:firstLine="240"/>
              <w:rPr>
                <w:color w:val="000000"/>
                <w:sz w:val="24"/>
                <w:szCs w:val="24"/>
              </w:rPr>
            </w:pPr>
            <w:r>
              <w:rPr>
                <w:rFonts w:hint="eastAsia"/>
                <w:color w:val="000000"/>
                <w:sz w:val="24"/>
                <w:szCs w:val="24"/>
              </w:rPr>
              <w:t>705,000.00</w:t>
            </w:r>
          </w:p>
        </w:tc>
        <w:tc>
          <w:tcPr>
            <w:tcW w:w="2033"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rPr>
                <w:color w:val="000000"/>
                <w:sz w:val="24"/>
                <w:szCs w:val="24"/>
              </w:rPr>
            </w:pPr>
            <w:r>
              <w:rPr>
                <w:rFonts w:hint="eastAsia"/>
                <w:color w:val="000000"/>
                <w:sz w:val="24"/>
                <w:szCs w:val="24"/>
              </w:rPr>
              <w:t>4,700,000.00</w:t>
            </w:r>
          </w:p>
        </w:tc>
        <w:tc>
          <w:tcPr>
            <w:tcW w:w="1240"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200" w:firstLine="480"/>
              <w:rPr>
                <w:color w:val="000000"/>
                <w:sz w:val="24"/>
                <w:szCs w:val="24"/>
              </w:rPr>
            </w:pPr>
            <w:r>
              <w:rPr>
                <w:rFonts w:hint="eastAsia"/>
                <w:color w:val="000000"/>
                <w:sz w:val="24"/>
                <w:szCs w:val="24"/>
              </w:rPr>
              <w:t>45%</w:t>
            </w:r>
          </w:p>
        </w:tc>
        <w:tc>
          <w:tcPr>
            <w:tcW w:w="1599"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rPr>
                <w:color w:val="000000"/>
                <w:sz w:val="24"/>
                <w:szCs w:val="24"/>
              </w:rPr>
            </w:pPr>
            <w:r>
              <w:rPr>
                <w:rFonts w:hint="eastAsia"/>
                <w:color w:val="000000"/>
                <w:sz w:val="24"/>
                <w:szCs w:val="24"/>
              </w:rPr>
              <w:t>2,115,000.00</w:t>
            </w:r>
          </w:p>
        </w:tc>
      </w:tr>
    </w:tbl>
    <w:p w:rsidR="007C1A32" w:rsidRDefault="007A618C" w:rsidP="003358A5">
      <w:pPr>
        <w:pStyle w:val="PlainText"/>
        <w:rPr>
          <w:rFonts w:ascii="MS Mincho" w:eastAsia="MS Mincho" w:hAnsi="MS Mincho" w:cs="MS Mincho"/>
        </w:rPr>
      </w:pPr>
      <w:r>
        <w:rPr>
          <w:rFonts w:hint="eastAsia"/>
        </w:rPr>
        <w:t>基金演出分享利</w:t>
      </w:r>
      <w:r>
        <w:rPr>
          <w:rFonts w:ascii="MingLiU" w:eastAsia="MingLiU" w:hAnsi="MingLiU" w:cs="MingLiU" w:hint="eastAsia"/>
        </w:rPr>
        <w:t>润备</w:t>
      </w:r>
      <w:r>
        <w:rPr>
          <w:rFonts w:ascii="MS Mincho" w:eastAsia="MS Mincho" w:hAnsi="MS Mincho" w:cs="MS Mincho" w:hint="eastAsia"/>
        </w:rPr>
        <w:t>忘</w:t>
      </w:r>
      <w:r>
        <w:rPr>
          <w:rFonts w:ascii="MingLiU" w:eastAsia="MingLiU" w:hAnsi="MingLiU" w:cs="MingLiU" w:hint="eastAsia"/>
        </w:rPr>
        <w:t>录</w:t>
      </w:r>
      <w:r>
        <w:rPr>
          <w:rFonts w:ascii="MS Mincho" w:eastAsia="MS Mincho" w:hAnsi="MS Mincho" w:cs="MS Mincho" w:hint="eastAsia"/>
        </w:rPr>
        <w:t>：</w:t>
      </w:r>
      <w:r>
        <w:rPr>
          <w:rFonts w:ascii="MingLiU" w:eastAsia="MingLiU" w:hAnsi="MingLiU" w:cs="MingLiU" w:hint="eastAsia"/>
        </w:rPr>
        <w:t>认购</w:t>
      </w:r>
      <w:r>
        <w:rPr>
          <w:rFonts w:ascii="MS Mincho" w:eastAsia="MS Mincho" w:hAnsi="MS Mincho" w:cs="MS Mincho" w:hint="eastAsia"/>
        </w:rPr>
        <w:t>者得</w:t>
      </w:r>
      <w:r>
        <w:rPr>
          <w:rFonts w:hint="eastAsia"/>
        </w:rPr>
        <w:t>70%</w:t>
      </w:r>
      <w:r>
        <w:rPr>
          <w:rFonts w:hint="eastAsia"/>
        </w:rPr>
        <w:t>利</w:t>
      </w:r>
      <w:r>
        <w:rPr>
          <w:rFonts w:ascii="MingLiU" w:eastAsia="MingLiU" w:hAnsi="MingLiU" w:cs="MingLiU" w:hint="eastAsia"/>
        </w:rPr>
        <w:t>润</w:t>
      </w:r>
      <w:r>
        <w:rPr>
          <w:rFonts w:ascii="MS Mincho" w:eastAsia="MS Mincho" w:hAnsi="MS Mincho" w:cs="MS Mincho" w:hint="eastAsia"/>
        </w:rPr>
        <w:t>分享基金会得</w:t>
      </w:r>
      <w:r>
        <w:rPr>
          <w:rFonts w:hint="eastAsia"/>
        </w:rPr>
        <w:t>30%</w:t>
      </w:r>
      <w:r>
        <w:rPr>
          <w:rFonts w:hint="eastAsia"/>
        </w:rPr>
        <w:t>利</w:t>
      </w:r>
      <w:r>
        <w:rPr>
          <w:rFonts w:ascii="MingLiU" w:eastAsia="MingLiU" w:hAnsi="MingLiU" w:cs="MingLiU" w:hint="eastAsia"/>
        </w:rPr>
        <w:t>润</w:t>
      </w:r>
      <w:r>
        <w:rPr>
          <w:rFonts w:ascii="MS Mincho" w:eastAsia="MS Mincho" w:hAnsi="MS Mincho" w:cs="MS Mincho" w:hint="eastAsia"/>
        </w:rPr>
        <w:t>分享，</w:t>
      </w:r>
      <w:r>
        <w:rPr>
          <w:rFonts w:ascii="MingLiU" w:eastAsia="MingLiU" w:hAnsi="MingLiU" w:cs="MingLiU" w:hint="eastAsia"/>
        </w:rPr>
        <w:t>资产净值</w:t>
      </w:r>
      <w:r>
        <w:rPr>
          <w:rFonts w:ascii="MS Mincho" w:eastAsia="MS Mincho" w:hAnsi="MS Mincho" w:cs="MS Mincho" w:hint="eastAsia"/>
        </w:rPr>
        <w:t>是根据所有基金会</w:t>
      </w:r>
      <w:r>
        <w:rPr>
          <w:rFonts w:ascii="MingLiU" w:eastAsia="MingLiU" w:hAnsi="MingLiU" w:cs="MingLiU" w:hint="eastAsia"/>
        </w:rPr>
        <w:t>资产</w:t>
      </w:r>
      <w:r>
        <w:rPr>
          <w:rFonts w:ascii="MS Mincho" w:eastAsia="MS Mincho" w:hAnsi="MS Mincho" w:cs="MS Mincho" w:hint="eastAsia"/>
        </w:rPr>
        <w:t>在估</w:t>
      </w:r>
      <w:r>
        <w:rPr>
          <w:rFonts w:ascii="MingLiU" w:eastAsia="MingLiU" w:hAnsi="MingLiU" w:cs="MingLiU" w:hint="eastAsia"/>
        </w:rPr>
        <w:t>值</w:t>
      </w:r>
      <w:r>
        <w:rPr>
          <w:rFonts w:ascii="MS Mincho" w:eastAsia="MS Mincho" w:hAnsi="MS Mincho" w:cs="MS Mincho" w:hint="eastAsia"/>
        </w:rPr>
        <w:t>价上的价</w:t>
      </w:r>
      <w:r>
        <w:rPr>
          <w:rFonts w:ascii="MingLiU" w:eastAsia="MingLiU" w:hAnsi="MingLiU" w:cs="MingLiU" w:hint="eastAsia"/>
        </w:rPr>
        <w:t>值</w:t>
      </w:r>
      <w:r>
        <w:rPr>
          <w:rFonts w:ascii="MS Mincho" w:eastAsia="MS Mincho" w:hAnsi="MS Mincho" w:cs="MS Mincho" w:hint="eastAsia"/>
        </w:rPr>
        <w:t>扣除所有基金</w:t>
      </w:r>
      <w:r>
        <w:rPr>
          <w:rFonts w:ascii="MingLiU" w:eastAsia="MingLiU" w:hAnsi="MingLiU" w:cs="MingLiU" w:hint="eastAsia"/>
        </w:rPr>
        <w:t>负债</w:t>
      </w:r>
      <w:r>
        <w:rPr>
          <w:rFonts w:ascii="MS Mincho" w:eastAsia="MS Mincho" w:hAnsi="MS Mincho" w:cs="MS Mincho" w:hint="eastAsia"/>
        </w:rPr>
        <w:t>的价</w:t>
      </w:r>
      <w:r>
        <w:rPr>
          <w:rFonts w:ascii="MingLiU" w:eastAsia="MingLiU" w:hAnsi="MingLiU" w:cs="MingLiU" w:hint="eastAsia"/>
        </w:rPr>
        <w:t>值</w:t>
      </w:r>
      <w:r>
        <w:rPr>
          <w:rFonts w:ascii="MS Mincho" w:eastAsia="MS Mincho" w:hAnsi="MS Mincho" w:cs="MS Mincho" w:hint="eastAsia"/>
        </w:rPr>
        <w:t>来确定。</w:t>
      </w:r>
    </w:p>
    <w:p w:rsidR="003358A5" w:rsidRPr="00DF0429" w:rsidRDefault="003358A5" w:rsidP="003358A5">
      <w:pPr>
        <w:pStyle w:val="PlainText"/>
        <w:rPr>
          <w:sz w:val="24"/>
          <w:szCs w:val="24"/>
        </w:rPr>
      </w:pPr>
      <w:r w:rsidRPr="00DF0429">
        <w:rPr>
          <w:sz w:val="24"/>
          <w:szCs w:val="24"/>
        </w:rPr>
        <w:t xml:space="preserve">Fund Performance Fee Profit Sharing Memorandum: Subscribers get 70% profit sharing, whereby Management Fund Ltd. get 30% profit sharing.  </w:t>
      </w:r>
    </w:p>
    <w:p w:rsidR="003358A5" w:rsidRPr="00DF0429" w:rsidRDefault="003358A5" w:rsidP="003358A5">
      <w:pPr>
        <w:pStyle w:val="PlainText"/>
        <w:rPr>
          <w:sz w:val="24"/>
          <w:szCs w:val="24"/>
        </w:rPr>
      </w:pPr>
      <w:r w:rsidRPr="00DF0429">
        <w:rPr>
          <w:sz w:val="24"/>
          <w:szCs w:val="24"/>
        </w:rPr>
        <w:t>The Net Asset Value (NAV) is determined by deducting the value of all fund liabilities based on the value of all fund assets from the valuation price.</w:t>
      </w:r>
    </w:p>
    <w:p w:rsidR="003358A5" w:rsidRDefault="003358A5" w:rsidP="003358A5">
      <w:pPr>
        <w:pStyle w:val="PlainText"/>
      </w:pPr>
    </w:p>
    <w:p w:rsidR="007C1A32" w:rsidRDefault="007C1A32"/>
    <w:p w:rsidR="007C1A32" w:rsidRDefault="007A618C">
      <w:pPr>
        <w:rPr>
          <w:rFonts w:ascii="Arial" w:eastAsia="SimSun" w:hAnsi="Arial" w:cs="Arial"/>
          <w:b/>
          <w:sz w:val="24"/>
          <w:szCs w:val="24"/>
          <w:highlight w:val="cyan"/>
          <w:shd w:val="clear" w:color="auto" w:fill="FFF1A8"/>
        </w:rPr>
      </w:pPr>
      <w:r>
        <w:rPr>
          <w:noProof/>
          <w:lang w:eastAsia="en-US"/>
        </w:rPr>
        <w:drawing>
          <wp:inline distT="0" distB="0" distL="114300" distR="114300">
            <wp:extent cx="6346190" cy="2015490"/>
            <wp:effectExtent l="0" t="0" r="16510" b="381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pic:cNvPicPr>
                  </pic:nvPicPr>
                  <pic:blipFill>
                    <a:blip r:embed="rId8"/>
                    <a:stretch>
                      <a:fillRect/>
                    </a:stretch>
                  </pic:blipFill>
                  <pic:spPr>
                    <a:xfrm>
                      <a:off x="0" y="0"/>
                      <a:ext cx="6346190" cy="2015490"/>
                    </a:xfrm>
                    <a:prstGeom prst="rect">
                      <a:avLst/>
                    </a:prstGeom>
                    <a:noFill/>
                    <a:ln w="9525">
                      <a:noFill/>
                    </a:ln>
                  </pic:spPr>
                </pic:pic>
              </a:graphicData>
            </a:graphic>
          </wp:inline>
        </w:drawing>
      </w:r>
    </w:p>
    <w:p w:rsidR="007C1A32" w:rsidRDefault="007C1A32">
      <w:pPr>
        <w:rPr>
          <w:rFonts w:ascii="Arial" w:eastAsia="SimSun" w:hAnsi="Arial" w:cs="Arial"/>
          <w:b/>
          <w:sz w:val="24"/>
          <w:szCs w:val="24"/>
          <w:highlight w:val="cyan"/>
          <w:shd w:val="clear" w:color="auto" w:fill="FFF1A8"/>
        </w:rPr>
      </w:pPr>
    </w:p>
    <w:p w:rsidR="00200895" w:rsidRDefault="00200895">
      <w:pPr>
        <w:rPr>
          <w:rFonts w:ascii="Arial" w:eastAsia="SimSun" w:hAnsi="Arial" w:cs="Arial"/>
          <w:b/>
          <w:sz w:val="24"/>
          <w:szCs w:val="24"/>
          <w:highlight w:val="cyan"/>
          <w:shd w:val="clear" w:color="auto" w:fill="FFF1A8"/>
        </w:rPr>
      </w:pPr>
    </w:p>
    <w:p w:rsidR="00200895" w:rsidRDefault="00200895">
      <w:pPr>
        <w:rPr>
          <w:rFonts w:ascii="Arial" w:eastAsia="SimSun" w:hAnsi="Arial" w:cs="Arial"/>
          <w:b/>
          <w:sz w:val="24"/>
          <w:szCs w:val="24"/>
          <w:highlight w:val="cyan"/>
          <w:shd w:val="clear" w:color="auto" w:fill="FFF1A8"/>
        </w:rPr>
      </w:pPr>
    </w:p>
    <w:p w:rsidR="00200895" w:rsidRDefault="00200895">
      <w:pPr>
        <w:rPr>
          <w:rFonts w:ascii="Arial" w:eastAsia="SimSun" w:hAnsi="Arial" w:cs="Arial"/>
          <w:b/>
          <w:sz w:val="24"/>
          <w:szCs w:val="24"/>
          <w:highlight w:val="cyan"/>
          <w:shd w:val="clear" w:color="auto" w:fill="FFF1A8"/>
        </w:rPr>
      </w:pPr>
    </w:p>
    <w:p w:rsidR="00200895" w:rsidRDefault="00200895">
      <w:pPr>
        <w:rPr>
          <w:rFonts w:ascii="Arial" w:eastAsia="SimSun" w:hAnsi="Arial" w:cs="Arial"/>
          <w:b/>
          <w:sz w:val="24"/>
          <w:szCs w:val="24"/>
          <w:highlight w:val="cyan"/>
          <w:shd w:val="clear" w:color="auto" w:fill="FFF1A8"/>
        </w:rPr>
      </w:pPr>
    </w:p>
    <w:p w:rsidR="007C1A32" w:rsidRDefault="007A618C">
      <w:pPr>
        <w:rPr>
          <w:rFonts w:ascii="Arial" w:eastAsia="SimSun" w:hAnsi="Arial" w:cs="Arial"/>
          <w:b/>
          <w:color w:val="555555"/>
          <w:sz w:val="21"/>
          <w:szCs w:val="21"/>
          <w:highlight w:val="yellow"/>
          <w:shd w:val="clear" w:color="auto" w:fill="FFF1A8"/>
        </w:rPr>
      </w:pPr>
      <w:r>
        <w:rPr>
          <w:rFonts w:ascii="Arial" w:eastAsia="SimSun" w:hAnsi="Arial" w:cs="Arial" w:hint="eastAsia"/>
          <w:b/>
          <w:sz w:val="24"/>
          <w:szCs w:val="24"/>
          <w:highlight w:val="cyan"/>
          <w:shd w:val="clear" w:color="auto" w:fill="FFF1A8"/>
        </w:rPr>
        <w:lastRenderedPageBreak/>
        <w:t>腾讯控股</w:t>
      </w:r>
      <w:r>
        <w:rPr>
          <w:rFonts w:ascii="Arial" w:eastAsia="SimSun" w:hAnsi="Arial" w:cs="Arial"/>
          <w:b/>
          <w:sz w:val="24"/>
          <w:szCs w:val="24"/>
          <w:highlight w:val="cyan"/>
          <w:shd w:val="clear" w:color="auto" w:fill="FFF1A8"/>
        </w:rPr>
        <w:t>业务体系：</w:t>
      </w:r>
    </w:p>
    <w:tbl>
      <w:tblPr>
        <w:tblStyle w:val="TableGrid"/>
        <w:tblpPr w:leftFromText="180" w:rightFromText="180" w:vertAnchor="text" w:horzAnchor="page" w:tblpX="1002" w:tblpY="1164"/>
        <w:tblOverlap w:val="never"/>
        <w:tblW w:w="8522" w:type="dxa"/>
        <w:tblLayout w:type="fixed"/>
        <w:tblLook w:val="04A0"/>
      </w:tblPr>
      <w:tblGrid>
        <w:gridCol w:w="1704"/>
        <w:gridCol w:w="156"/>
        <w:gridCol w:w="1548"/>
        <w:gridCol w:w="1704"/>
        <w:gridCol w:w="1705"/>
        <w:gridCol w:w="1705"/>
      </w:tblGrid>
      <w:tr w:rsidR="007C1A32">
        <w:trPr>
          <w:gridAfter w:val="4"/>
          <w:wAfter w:w="6662" w:type="dxa"/>
          <w:trHeight w:val="337"/>
        </w:trPr>
        <w:tc>
          <w:tcPr>
            <w:tcW w:w="1860" w:type="dxa"/>
            <w:gridSpan w:val="2"/>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200" w:firstLine="482"/>
              <w:rPr>
                <w:rFonts w:ascii="Arial" w:eastAsia="SimSun" w:hAnsi="Arial" w:cs="Arial"/>
                <w:b/>
                <w:color w:val="555555"/>
                <w:sz w:val="24"/>
                <w:szCs w:val="24"/>
                <w:highlight w:val="yellow"/>
                <w:shd w:val="clear" w:color="auto" w:fill="FFF1A8"/>
                <w:lang w:val="en-MY"/>
              </w:rPr>
            </w:pPr>
            <w:r>
              <w:rPr>
                <w:rFonts w:ascii="Arial" w:eastAsia="SimSun" w:hAnsi="Arial" w:cs="Arial"/>
                <w:b/>
                <w:color w:val="555555"/>
                <w:sz w:val="24"/>
                <w:szCs w:val="24"/>
                <w:highlight w:val="yellow"/>
                <w:shd w:val="clear" w:color="auto" w:fill="FFF1A8"/>
              </w:rPr>
              <w:t>金融</w:t>
            </w:r>
          </w:p>
        </w:tc>
      </w:tr>
      <w:tr w:rsidR="007C1A32">
        <w:tc>
          <w:tcPr>
            <w:tcW w:w="1704"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财付通</w:t>
            </w:r>
          </w:p>
        </w:tc>
        <w:tc>
          <w:tcPr>
            <w:tcW w:w="1704" w:type="dxa"/>
            <w:gridSpan w:val="2"/>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微信支付</w:t>
            </w:r>
          </w:p>
        </w:tc>
        <w:tc>
          <w:tcPr>
            <w:tcW w:w="1704"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QQ</w:t>
            </w:r>
            <w:r>
              <w:rPr>
                <w:rFonts w:ascii="Arial" w:eastAsia="SimSun" w:hAnsi="Arial" w:cs="Arial"/>
                <w:b/>
                <w:color w:val="555555"/>
                <w:sz w:val="21"/>
                <w:szCs w:val="21"/>
                <w:highlight w:val="yellow"/>
                <w:shd w:val="clear" w:color="auto" w:fill="FFF1A8"/>
              </w:rPr>
              <w:t>钱包</w:t>
            </w:r>
          </w:p>
        </w:tc>
        <w:tc>
          <w:tcPr>
            <w:tcW w:w="1705"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理财通</w:t>
            </w:r>
          </w:p>
        </w:tc>
        <w:tc>
          <w:tcPr>
            <w:tcW w:w="1705"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微黄金</w:t>
            </w:r>
            <w:r>
              <w:rPr>
                <w:rFonts w:ascii="Arial" w:eastAsia="SimSun" w:hAnsi="Arial" w:cs="Arial"/>
                <w:b/>
                <w:color w:val="555555"/>
                <w:sz w:val="21"/>
                <w:szCs w:val="21"/>
                <w:highlight w:val="yellow"/>
                <w:shd w:val="clear" w:color="auto" w:fill="FFF1A8"/>
              </w:rPr>
              <w:t xml:space="preserve">  </w:t>
            </w:r>
          </w:p>
        </w:tc>
      </w:tr>
    </w:tbl>
    <w:tbl>
      <w:tblPr>
        <w:tblStyle w:val="TableGrid"/>
        <w:tblpPr w:leftFromText="180" w:rightFromText="180" w:vertAnchor="text" w:horzAnchor="page" w:tblpX="1017" w:tblpY="98"/>
        <w:tblOverlap w:val="never"/>
        <w:tblW w:w="8522" w:type="dxa"/>
        <w:tblLayout w:type="fixed"/>
        <w:tblLook w:val="04A0"/>
      </w:tblPr>
      <w:tblGrid>
        <w:gridCol w:w="1860"/>
        <w:gridCol w:w="980"/>
        <w:gridCol w:w="2841"/>
        <w:gridCol w:w="2841"/>
      </w:tblGrid>
      <w:tr w:rsidR="007C1A32">
        <w:trPr>
          <w:gridAfter w:val="3"/>
          <w:wAfter w:w="6662" w:type="dxa"/>
          <w:trHeight w:val="337"/>
        </w:trPr>
        <w:tc>
          <w:tcPr>
            <w:tcW w:w="1860"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rPr>
                <w:rFonts w:ascii="Arial" w:eastAsia="SimSun" w:hAnsi="Arial" w:cs="Arial"/>
                <w:b/>
                <w:color w:val="555555"/>
                <w:sz w:val="21"/>
                <w:szCs w:val="21"/>
                <w:highlight w:val="yellow"/>
                <w:shd w:val="clear" w:color="auto" w:fill="FFF1A8"/>
              </w:rPr>
            </w:pPr>
            <w:r>
              <w:rPr>
                <w:rFonts w:ascii="Arial" w:eastAsia="SimSun" w:hAnsi="Arial" w:cs="Arial"/>
                <w:b/>
                <w:color w:val="555555"/>
                <w:sz w:val="24"/>
                <w:szCs w:val="24"/>
                <w:highlight w:val="yellow"/>
                <w:shd w:val="clear" w:color="auto" w:fill="FFF1A8"/>
              </w:rPr>
              <w:t>（社交业务）</w:t>
            </w:r>
          </w:p>
        </w:tc>
      </w:tr>
      <w:tr w:rsidR="007C1A32">
        <w:tc>
          <w:tcPr>
            <w:tcW w:w="2840" w:type="dxa"/>
            <w:gridSpan w:val="2"/>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rPr>
                <w:rFonts w:ascii="Arial" w:eastAsia="SimSun" w:hAnsi="Arial" w:cs="Arial"/>
                <w:b/>
                <w:color w:val="555555"/>
                <w:sz w:val="28"/>
                <w:szCs w:val="28"/>
                <w:highlight w:val="yellow"/>
                <w:shd w:val="clear" w:color="auto" w:fill="FFF1A8"/>
              </w:rPr>
            </w:pPr>
            <w:r>
              <w:rPr>
                <w:rFonts w:ascii="Arial" w:eastAsia="SimSun" w:hAnsi="Arial" w:cs="Arial"/>
                <w:b/>
                <w:color w:val="555555"/>
                <w:sz w:val="21"/>
                <w:szCs w:val="21"/>
                <w:highlight w:val="yellow"/>
                <w:shd w:val="clear" w:color="auto" w:fill="FFF1A8"/>
              </w:rPr>
              <w:t>QQ,</w:t>
            </w:r>
            <w:r>
              <w:rPr>
                <w:rFonts w:ascii="Arial" w:eastAsia="SimSun" w:hAnsi="Arial" w:cs="Arial"/>
                <w:b/>
                <w:color w:val="555555"/>
                <w:sz w:val="21"/>
                <w:szCs w:val="21"/>
                <w:highlight w:val="yellow"/>
                <w:shd w:val="clear" w:color="auto" w:fill="FFF1A8"/>
              </w:rPr>
              <w:t>微信</w:t>
            </w:r>
          </w:p>
        </w:tc>
        <w:tc>
          <w:tcPr>
            <w:tcW w:w="2841"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rPr>
                <w:rFonts w:ascii="Arial" w:eastAsia="SimSun" w:hAnsi="Arial" w:cs="Arial"/>
                <w:b/>
                <w:color w:val="555555"/>
                <w:sz w:val="28"/>
                <w:szCs w:val="28"/>
                <w:highlight w:val="yellow"/>
                <w:shd w:val="clear" w:color="auto" w:fill="FFF1A8"/>
              </w:rPr>
            </w:pPr>
            <w:r>
              <w:rPr>
                <w:rFonts w:ascii="Arial" w:eastAsia="SimSun" w:hAnsi="Arial" w:cs="Arial"/>
                <w:b/>
                <w:color w:val="555555"/>
                <w:sz w:val="21"/>
                <w:szCs w:val="21"/>
                <w:highlight w:val="yellow"/>
                <w:shd w:val="clear" w:color="auto" w:fill="FFF1A8"/>
              </w:rPr>
              <w:t>QQ</w:t>
            </w:r>
            <w:r>
              <w:rPr>
                <w:rFonts w:ascii="Arial" w:eastAsia="SimSun" w:hAnsi="Arial" w:cs="Arial"/>
                <w:b/>
                <w:color w:val="555555"/>
                <w:sz w:val="21"/>
                <w:szCs w:val="21"/>
                <w:highlight w:val="yellow"/>
                <w:shd w:val="clear" w:color="auto" w:fill="FFF1A8"/>
              </w:rPr>
              <w:t>空间</w:t>
            </w:r>
          </w:p>
        </w:tc>
        <w:tc>
          <w:tcPr>
            <w:tcW w:w="2841"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rPr>
                <w:rFonts w:ascii="Arial" w:eastAsia="SimSun" w:hAnsi="Arial" w:cs="Arial"/>
                <w:b/>
                <w:color w:val="555555"/>
                <w:sz w:val="28"/>
                <w:szCs w:val="28"/>
                <w:highlight w:val="yellow"/>
                <w:shd w:val="clear" w:color="auto" w:fill="FFF1A8"/>
              </w:rPr>
            </w:pPr>
            <w:r>
              <w:rPr>
                <w:rFonts w:ascii="Arial" w:eastAsia="SimSun" w:hAnsi="Arial" w:cs="Arial"/>
                <w:b/>
                <w:color w:val="555555"/>
                <w:sz w:val="21"/>
                <w:szCs w:val="21"/>
                <w:highlight w:val="yellow"/>
                <w:shd w:val="clear" w:color="auto" w:fill="FFF1A8"/>
              </w:rPr>
              <w:t>腾讯微博</w:t>
            </w:r>
            <w:r>
              <w:rPr>
                <w:rFonts w:ascii="Arial" w:eastAsia="SimSun" w:hAnsi="Arial" w:cs="Arial"/>
                <w:b/>
                <w:color w:val="555555"/>
                <w:sz w:val="21"/>
                <w:szCs w:val="21"/>
                <w:highlight w:val="yellow"/>
                <w:shd w:val="clear" w:color="auto" w:fill="FFF1A8"/>
              </w:rPr>
              <w:t> </w:t>
            </w:r>
          </w:p>
        </w:tc>
      </w:tr>
    </w:tbl>
    <w:p w:rsidR="007C1A32" w:rsidRDefault="007C1A32">
      <w:pPr>
        <w:rPr>
          <w:rFonts w:ascii="Arial" w:eastAsia="SimSun" w:hAnsi="Arial" w:cs="Arial"/>
          <w:b/>
          <w:color w:val="555555"/>
          <w:sz w:val="21"/>
          <w:szCs w:val="21"/>
          <w:highlight w:val="yellow"/>
          <w:shd w:val="clear" w:color="auto" w:fill="FFF1A8"/>
          <w:lang w:val="en-MY"/>
        </w:rPr>
      </w:pPr>
    </w:p>
    <w:tbl>
      <w:tblPr>
        <w:tblStyle w:val="TableGrid"/>
        <w:tblW w:w="8540" w:type="dxa"/>
        <w:tblLayout w:type="fixed"/>
        <w:tblLook w:val="04A0"/>
      </w:tblPr>
      <w:tblGrid>
        <w:gridCol w:w="1708"/>
        <w:gridCol w:w="135"/>
        <w:gridCol w:w="1003"/>
        <w:gridCol w:w="569"/>
        <w:gridCol w:w="1708"/>
        <w:gridCol w:w="570"/>
        <w:gridCol w:w="1138"/>
        <w:gridCol w:w="1709"/>
      </w:tblGrid>
      <w:tr w:rsidR="007C1A32">
        <w:trPr>
          <w:gridAfter w:val="6"/>
          <w:wAfter w:w="6697" w:type="dxa"/>
          <w:trHeight w:val="370"/>
        </w:trPr>
        <w:tc>
          <w:tcPr>
            <w:tcW w:w="1843" w:type="dxa"/>
            <w:gridSpan w:val="2"/>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娱乐</w:t>
            </w:r>
          </w:p>
        </w:tc>
      </w:tr>
      <w:tr w:rsidR="007C1A32">
        <w:trPr>
          <w:trHeight w:val="257"/>
        </w:trPr>
        <w:tc>
          <w:tcPr>
            <w:tcW w:w="1708"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100" w:firstLine="211"/>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腾讯游戏</w:t>
            </w:r>
          </w:p>
        </w:tc>
        <w:tc>
          <w:tcPr>
            <w:tcW w:w="1707" w:type="dxa"/>
            <w:gridSpan w:val="3"/>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100" w:firstLine="211"/>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腾讯影业</w:t>
            </w:r>
          </w:p>
        </w:tc>
        <w:tc>
          <w:tcPr>
            <w:tcW w:w="1708"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100" w:firstLine="211"/>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腾讯动漫</w:t>
            </w:r>
          </w:p>
        </w:tc>
        <w:tc>
          <w:tcPr>
            <w:tcW w:w="1708" w:type="dxa"/>
            <w:gridSpan w:val="2"/>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100" w:firstLine="211"/>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腾讯电竞</w:t>
            </w:r>
          </w:p>
        </w:tc>
        <w:tc>
          <w:tcPr>
            <w:tcW w:w="1709"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100" w:firstLine="211"/>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阅交集团</w:t>
            </w:r>
          </w:p>
        </w:tc>
      </w:tr>
      <w:tr w:rsidR="007C1A32">
        <w:trPr>
          <w:trHeight w:val="257"/>
        </w:trPr>
        <w:tc>
          <w:tcPr>
            <w:tcW w:w="1708"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100" w:firstLine="211"/>
              <w:rPr>
                <w:rFonts w:ascii="Arial" w:eastAsia="SimSun" w:hAnsi="Arial" w:cs="Arial"/>
                <w:b/>
                <w:color w:val="555555"/>
                <w:sz w:val="21"/>
                <w:szCs w:val="21"/>
                <w:highlight w:val="yellow"/>
                <w:shd w:val="clear" w:color="auto" w:fill="FFF1A8"/>
                <w:lang w:val="en-MY"/>
              </w:rPr>
            </w:pPr>
            <w:proofErr w:type="spellStart"/>
            <w:r>
              <w:rPr>
                <w:rFonts w:ascii="Arial" w:eastAsia="SimSun" w:hAnsi="Arial" w:cs="Arial"/>
                <w:b/>
                <w:color w:val="555555"/>
                <w:sz w:val="21"/>
                <w:szCs w:val="21"/>
                <w:highlight w:val="yellow"/>
                <w:shd w:val="clear" w:color="auto" w:fill="FFF1A8"/>
              </w:rPr>
              <w:t>qq</w:t>
            </w:r>
            <w:proofErr w:type="spellEnd"/>
            <w:r>
              <w:rPr>
                <w:rFonts w:ascii="Arial" w:eastAsia="SimSun" w:hAnsi="Arial" w:cs="Arial"/>
                <w:b/>
                <w:color w:val="555555"/>
                <w:sz w:val="21"/>
                <w:szCs w:val="21"/>
                <w:highlight w:val="yellow"/>
                <w:shd w:val="clear" w:color="auto" w:fill="FFF1A8"/>
              </w:rPr>
              <w:t>音乐</w:t>
            </w:r>
          </w:p>
        </w:tc>
        <w:tc>
          <w:tcPr>
            <w:tcW w:w="1707" w:type="dxa"/>
            <w:gridSpan w:val="3"/>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100" w:firstLine="211"/>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腾讯视频</w:t>
            </w:r>
          </w:p>
        </w:tc>
        <w:tc>
          <w:tcPr>
            <w:tcW w:w="1708"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100" w:firstLine="211"/>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腾讯体育</w:t>
            </w:r>
          </w:p>
        </w:tc>
        <w:tc>
          <w:tcPr>
            <w:tcW w:w="1708" w:type="dxa"/>
            <w:gridSpan w:val="2"/>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100" w:firstLine="211"/>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企鹅电竞</w:t>
            </w:r>
          </w:p>
        </w:tc>
        <w:tc>
          <w:tcPr>
            <w:tcW w:w="1709"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100" w:firstLine="211"/>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Now</w:t>
            </w:r>
            <w:r>
              <w:rPr>
                <w:rFonts w:ascii="Arial" w:eastAsia="SimSun" w:hAnsi="Arial" w:cs="Arial"/>
                <w:b/>
                <w:color w:val="555555"/>
                <w:sz w:val="21"/>
                <w:szCs w:val="21"/>
                <w:highlight w:val="yellow"/>
                <w:shd w:val="clear" w:color="auto" w:fill="FFF1A8"/>
              </w:rPr>
              <w:t>直播</w:t>
            </w:r>
          </w:p>
        </w:tc>
      </w:tr>
      <w:tr w:rsidR="007C1A32">
        <w:trPr>
          <w:trHeight w:val="267"/>
        </w:trPr>
        <w:tc>
          <w:tcPr>
            <w:tcW w:w="2846" w:type="dxa"/>
            <w:gridSpan w:val="3"/>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兴趣部落</w:t>
            </w:r>
          </w:p>
        </w:tc>
        <w:tc>
          <w:tcPr>
            <w:tcW w:w="2847" w:type="dxa"/>
            <w:gridSpan w:val="3"/>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腾讯课堂</w:t>
            </w:r>
          </w:p>
        </w:tc>
        <w:tc>
          <w:tcPr>
            <w:tcW w:w="2847" w:type="dxa"/>
            <w:gridSpan w:val="2"/>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企鹅</w:t>
            </w:r>
            <w:r>
              <w:rPr>
                <w:rFonts w:ascii="Arial" w:eastAsia="SimSun" w:hAnsi="Arial" w:cs="Arial"/>
                <w:b/>
                <w:color w:val="555555"/>
                <w:sz w:val="21"/>
                <w:szCs w:val="21"/>
                <w:highlight w:val="yellow"/>
                <w:shd w:val="clear" w:color="auto" w:fill="FFF1A8"/>
              </w:rPr>
              <w:t>FM</w:t>
            </w:r>
          </w:p>
        </w:tc>
      </w:tr>
    </w:tbl>
    <w:p w:rsidR="007C1A32" w:rsidRDefault="007C1A32">
      <w:pPr>
        <w:rPr>
          <w:rFonts w:ascii="Arial" w:eastAsia="SimSun" w:hAnsi="Arial" w:cs="Arial"/>
          <w:b/>
          <w:color w:val="555555"/>
          <w:sz w:val="21"/>
          <w:szCs w:val="21"/>
          <w:highlight w:val="yellow"/>
          <w:shd w:val="clear" w:color="auto" w:fill="FFF1A8"/>
          <w:lang w:val="en-MY"/>
        </w:rPr>
      </w:pPr>
    </w:p>
    <w:tbl>
      <w:tblPr>
        <w:tblStyle w:val="TableGrid"/>
        <w:tblW w:w="8520" w:type="dxa"/>
        <w:tblLayout w:type="fixed"/>
        <w:tblLook w:val="04A0"/>
      </w:tblPr>
      <w:tblGrid>
        <w:gridCol w:w="1980"/>
        <w:gridCol w:w="859"/>
        <w:gridCol w:w="2841"/>
        <w:gridCol w:w="2840"/>
      </w:tblGrid>
      <w:tr w:rsidR="007C1A32">
        <w:trPr>
          <w:gridAfter w:val="3"/>
          <w:wAfter w:w="6540" w:type="dxa"/>
          <w:trHeight w:val="345"/>
        </w:trPr>
        <w:tc>
          <w:tcPr>
            <w:tcW w:w="1980"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200" w:firstLine="422"/>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资讯</w:t>
            </w:r>
          </w:p>
        </w:tc>
      </w:tr>
      <w:tr w:rsidR="007C1A32">
        <w:trPr>
          <w:trHeight w:val="234"/>
        </w:trPr>
        <w:tc>
          <w:tcPr>
            <w:tcW w:w="2839" w:type="dxa"/>
            <w:gridSpan w:val="2"/>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500" w:firstLine="1054"/>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腾讯网</w:t>
            </w:r>
          </w:p>
        </w:tc>
        <w:tc>
          <w:tcPr>
            <w:tcW w:w="2841"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400" w:firstLine="843"/>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腾讯新闻</w:t>
            </w:r>
          </w:p>
        </w:tc>
        <w:tc>
          <w:tcPr>
            <w:tcW w:w="2840"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400" w:firstLine="843"/>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天天快报</w:t>
            </w:r>
            <w:r>
              <w:rPr>
                <w:rFonts w:ascii="Arial" w:eastAsia="SimSun" w:hAnsi="Arial" w:cs="Arial"/>
                <w:b/>
                <w:color w:val="555555"/>
                <w:sz w:val="21"/>
                <w:szCs w:val="21"/>
                <w:highlight w:val="yellow"/>
                <w:shd w:val="clear" w:color="auto" w:fill="FFF1A8"/>
              </w:rPr>
              <w:t xml:space="preserve">  </w:t>
            </w:r>
          </w:p>
        </w:tc>
      </w:tr>
    </w:tbl>
    <w:p w:rsidR="007C1A32" w:rsidRDefault="007C1A32">
      <w:pPr>
        <w:rPr>
          <w:rFonts w:ascii="Arial" w:eastAsia="SimSun" w:hAnsi="Arial" w:cs="Arial"/>
          <w:b/>
          <w:color w:val="555555"/>
          <w:sz w:val="21"/>
          <w:szCs w:val="21"/>
          <w:highlight w:val="yellow"/>
          <w:shd w:val="clear" w:color="auto" w:fill="FFF1A8"/>
          <w:lang w:val="en-MY"/>
        </w:rPr>
      </w:pPr>
    </w:p>
    <w:tbl>
      <w:tblPr>
        <w:tblStyle w:val="TableGrid"/>
        <w:tblW w:w="8520" w:type="dxa"/>
        <w:tblLayout w:type="fixed"/>
        <w:tblLook w:val="04A0"/>
      </w:tblPr>
      <w:tblGrid>
        <w:gridCol w:w="2020"/>
        <w:gridCol w:w="110"/>
        <w:gridCol w:w="2129"/>
        <w:gridCol w:w="2131"/>
        <w:gridCol w:w="2130"/>
      </w:tblGrid>
      <w:tr w:rsidR="007C1A32">
        <w:trPr>
          <w:gridAfter w:val="4"/>
          <w:wAfter w:w="6500" w:type="dxa"/>
          <w:trHeight w:val="404"/>
        </w:trPr>
        <w:tc>
          <w:tcPr>
            <w:tcW w:w="2020"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300" w:firstLine="632"/>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工具</w:t>
            </w:r>
          </w:p>
        </w:tc>
      </w:tr>
      <w:tr w:rsidR="007C1A32">
        <w:trPr>
          <w:trHeight w:val="237"/>
        </w:trPr>
        <w:tc>
          <w:tcPr>
            <w:tcW w:w="2130" w:type="dxa"/>
            <w:gridSpan w:val="2"/>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300" w:firstLine="632"/>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应用宝</w:t>
            </w:r>
          </w:p>
        </w:tc>
        <w:tc>
          <w:tcPr>
            <w:tcW w:w="2129"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200" w:firstLine="422"/>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QQ</w:t>
            </w:r>
            <w:r>
              <w:rPr>
                <w:rFonts w:ascii="Arial" w:eastAsia="SimSun" w:hAnsi="Arial" w:cs="Arial"/>
                <w:b/>
                <w:color w:val="555555"/>
                <w:sz w:val="21"/>
                <w:szCs w:val="21"/>
                <w:highlight w:val="yellow"/>
                <w:shd w:val="clear" w:color="auto" w:fill="FFF1A8"/>
              </w:rPr>
              <w:t>浏览器</w:t>
            </w:r>
          </w:p>
        </w:tc>
        <w:tc>
          <w:tcPr>
            <w:tcW w:w="2131"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200" w:firstLine="422"/>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手机管家</w:t>
            </w:r>
          </w:p>
        </w:tc>
        <w:tc>
          <w:tcPr>
            <w:tcW w:w="2130"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200" w:firstLine="422"/>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电脑管家</w:t>
            </w:r>
          </w:p>
        </w:tc>
      </w:tr>
      <w:tr w:rsidR="007C1A32">
        <w:trPr>
          <w:trHeight w:val="253"/>
        </w:trPr>
        <w:tc>
          <w:tcPr>
            <w:tcW w:w="2130" w:type="dxa"/>
            <w:gridSpan w:val="2"/>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200" w:firstLine="422"/>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腾讯地图</w:t>
            </w:r>
          </w:p>
        </w:tc>
        <w:tc>
          <w:tcPr>
            <w:tcW w:w="2129"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200" w:firstLine="422"/>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QQ</w:t>
            </w:r>
            <w:r>
              <w:rPr>
                <w:rFonts w:ascii="Arial" w:eastAsia="SimSun" w:hAnsi="Arial" w:cs="Arial"/>
                <w:b/>
                <w:color w:val="555555"/>
                <w:sz w:val="21"/>
                <w:szCs w:val="21"/>
                <w:highlight w:val="yellow"/>
                <w:shd w:val="clear" w:color="auto" w:fill="FFF1A8"/>
              </w:rPr>
              <w:t>邮箱</w:t>
            </w:r>
          </w:p>
        </w:tc>
        <w:tc>
          <w:tcPr>
            <w:tcW w:w="2131"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200" w:firstLine="422"/>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自选股</w:t>
            </w:r>
          </w:p>
        </w:tc>
        <w:tc>
          <w:tcPr>
            <w:tcW w:w="2130"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200" w:firstLine="422"/>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天天</w:t>
            </w:r>
            <w:r>
              <w:rPr>
                <w:rFonts w:ascii="Arial" w:eastAsia="SimSun" w:hAnsi="Arial" w:cs="Arial"/>
                <w:b/>
                <w:color w:val="555555"/>
                <w:sz w:val="21"/>
                <w:szCs w:val="21"/>
                <w:highlight w:val="yellow"/>
                <w:shd w:val="clear" w:color="auto" w:fill="FFF1A8"/>
              </w:rPr>
              <w:t>P</w:t>
            </w:r>
            <w:r>
              <w:rPr>
                <w:rFonts w:ascii="Arial" w:eastAsia="SimSun" w:hAnsi="Arial" w:cs="Arial"/>
                <w:b/>
                <w:color w:val="555555"/>
                <w:sz w:val="21"/>
                <w:szCs w:val="21"/>
                <w:highlight w:val="yellow"/>
                <w:shd w:val="clear" w:color="auto" w:fill="FFF1A8"/>
              </w:rPr>
              <w:t>图</w:t>
            </w:r>
            <w:r>
              <w:rPr>
                <w:rFonts w:ascii="Arial" w:eastAsia="SimSun" w:hAnsi="Arial" w:cs="Arial"/>
                <w:b/>
                <w:color w:val="555555"/>
                <w:sz w:val="21"/>
                <w:szCs w:val="21"/>
                <w:highlight w:val="yellow"/>
                <w:shd w:val="clear" w:color="auto" w:fill="FFF1A8"/>
              </w:rPr>
              <w:t xml:space="preserve">  </w:t>
            </w:r>
          </w:p>
        </w:tc>
      </w:tr>
    </w:tbl>
    <w:p w:rsidR="007C1A32" w:rsidRDefault="007C1A32">
      <w:pPr>
        <w:rPr>
          <w:rFonts w:ascii="Arial" w:eastAsia="SimSun" w:hAnsi="Arial" w:cs="Arial"/>
          <w:b/>
          <w:color w:val="555555"/>
          <w:sz w:val="21"/>
          <w:szCs w:val="21"/>
          <w:highlight w:val="yellow"/>
          <w:shd w:val="clear" w:color="auto" w:fill="FFF1A8"/>
          <w:lang w:val="en-MY"/>
        </w:rPr>
      </w:pPr>
    </w:p>
    <w:tbl>
      <w:tblPr>
        <w:tblStyle w:val="TableGrid"/>
        <w:tblW w:w="8520" w:type="dxa"/>
        <w:tblLayout w:type="fixed"/>
        <w:tblLook w:val="04A0"/>
      </w:tblPr>
      <w:tblGrid>
        <w:gridCol w:w="1999"/>
        <w:gridCol w:w="2261"/>
        <w:gridCol w:w="4260"/>
      </w:tblGrid>
      <w:tr w:rsidR="007C1A32">
        <w:trPr>
          <w:gridAfter w:val="2"/>
          <w:wAfter w:w="6521" w:type="dxa"/>
          <w:trHeight w:val="369"/>
        </w:trPr>
        <w:tc>
          <w:tcPr>
            <w:tcW w:w="1999"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300" w:firstLine="632"/>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平台</w:t>
            </w:r>
          </w:p>
        </w:tc>
      </w:tr>
      <w:tr w:rsidR="007C1A32">
        <w:trPr>
          <w:trHeight w:val="282"/>
        </w:trPr>
        <w:tc>
          <w:tcPr>
            <w:tcW w:w="4260" w:type="dxa"/>
            <w:gridSpan w:val="2"/>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700" w:firstLine="1476"/>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开放平台</w:t>
            </w:r>
          </w:p>
        </w:tc>
        <w:tc>
          <w:tcPr>
            <w:tcW w:w="4260"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800" w:firstLine="1687"/>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腾讯云</w:t>
            </w:r>
          </w:p>
        </w:tc>
      </w:tr>
    </w:tbl>
    <w:p w:rsidR="007C1A32" w:rsidRDefault="007C1A32">
      <w:pPr>
        <w:rPr>
          <w:rFonts w:ascii="Arial" w:eastAsia="SimSun" w:hAnsi="Arial" w:cs="Arial"/>
          <w:b/>
          <w:color w:val="555555"/>
          <w:sz w:val="21"/>
          <w:szCs w:val="21"/>
          <w:highlight w:val="yellow"/>
          <w:shd w:val="clear" w:color="auto" w:fill="FFF1A8"/>
          <w:lang w:val="en-MY"/>
        </w:rPr>
      </w:pPr>
    </w:p>
    <w:tbl>
      <w:tblPr>
        <w:tblStyle w:val="TableGrid"/>
        <w:tblW w:w="8540" w:type="dxa"/>
        <w:tblLayout w:type="fixed"/>
        <w:tblLook w:val="04A0"/>
      </w:tblPr>
      <w:tblGrid>
        <w:gridCol w:w="2045"/>
        <w:gridCol w:w="2225"/>
        <w:gridCol w:w="4270"/>
      </w:tblGrid>
      <w:tr w:rsidR="007C1A32">
        <w:trPr>
          <w:gridAfter w:val="2"/>
          <w:wAfter w:w="6495" w:type="dxa"/>
          <w:trHeight w:val="309"/>
        </w:trPr>
        <w:tc>
          <w:tcPr>
            <w:tcW w:w="2045" w:type="dxa"/>
            <w:tcBorders>
              <w:top w:val="single" w:sz="8" w:space="0" w:color="4BACC6"/>
              <w:left w:val="single" w:sz="8" w:space="0" w:color="4BACC6"/>
              <w:bottom w:val="single" w:sz="8" w:space="0" w:color="4BACC6"/>
              <w:right w:val="single" w:sz="8" w:space="0" w:color="4BACC6"/>
            </w:tcBorders>
            <w:shd w:val="clear" w:color="auto" w:fill="B7DDE8"/>
          </w:tcPr>
          <w:p w:rsidR="007C1A32" w:rsidRDefault="007A618C">
            <w:pPr>
              <w:ind w:firstLineChars="200" w:firstLine="422"/>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人工智能</w:t>
            </w:r>
          </w:p>
        </w:tc>
      </w:tr>
      <w:tr w:rsidR="007C1A32">
        <w:trPr>
          <w:trHeight w:val="447"/>
        </w:trPr>
        <w:tc>
          <w:tcPr>
            <w:tcW w:w="4270" w:type="dxa"/>
            <w:gridSpan w:val="2"/>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600" w:firstLine="1265"/>
              <w:rPr>
                <w:rFonts w:ascii="Arial" w:eastAsia="SimSun" w:hAnsi="Arial" w:cs="Arial"/>
                <w:b/>
                <w:color w:val="555555"/>
                <w:sz w:val="21"/>
                <w:szCs w:val="21"/>
                <w:highlight w:val="yellow"/>
                <w:shd w:val="clear" w:color="auto" w:fill="FFF1A8"/>
                <w:lang w:val="en-MY"/>
              </w:rPr>
            </w:pPr>
            <w:r>
              <w:rPr>
                <w:rFonts w:ascii="Arial" w:eastAsia="SimSun" w:hAnsi="Arial" w:cs="Arial"/>
                <w:b/>
                <w:color w:val="555555"/>
                <w:sz w:val="21"/>
                <w:szCs w:val="21"/>
                <w:highlight w:val="yellow"/>
                <w:shd w:val="clear" w:color="auto" w:fill="FFF1A8"/>
              </w:rPr>
              <w:t>腾讯</w:t>
            </w:r>
            <w:r>
              <w:rPr>
                <w:rFonts w:ascii="Arial" w:eastAsia="SimSun" w:hAnsi="Arial" w:cs="Arial"/>
                <w:b/>
                <w:color w:val="555555"/>
                <w:sz w:val="21"/>
                <w:szCs w:val="21"/>
                <w:highlight w:val="yellow"/>
                <w:shd w:val="clear" w:color="auto" w:fill="FFF1A8"/>
              </w:rPr>
              <w:t>AL lob</w:t>
            </w:r>
          </w:p>
        </w:tc>
        <w:tc>
          <w:tcPr>
            <w:tcW w:w="4270" w:type="dxa"/>
            <w:tcBorders>
              <w:top w:val="single" w:sz="8" w:space="0" w:color="4BACC6"/>
              <w:left w:val="single" w:sz="8" w:space="0" w:color="4BACC6"/>
              <w:bottom w:val="single" w:sz="8" w:space="0" w:color="4BACC6"/>
              <w:right w:val="single" w:sz="8" w:space="0" w:color="4BACC6"/>
            </w:tcBorders>
            <w:shd w:val="clear" w:color="auto" w:fill="FFFFFF"/>
          </w:tcPr>
          <w:p w:rsidR="007C1A32" w:rsidRDefault="007A618C">
            <w:pPr>
              <w:ind w:firstLineChars="800" w:firstLine="1687"/>
              <w:rPr>
                <w:color w:val="000000"/>
                <w:sz w:val="28"/>
                <w:szCs w:val="28"/>
                <w:highlight w:val="yellow"/>
                <w:lang w:val="en-MY"/>
              </w:rPr>
            </w:pPr>
            <w:r>
              <w:rPr>
                <w:rFonts w:ascii="Arial" w:eastAsia="SimSun" w:hAnsi="Arial" w:cs="Arial"/>
                <w:b/>
                <w:color w:val="555555"/>
                <w:sz w:val="21"/>
                <w:szCs w:val="21"/>
                <w:highlight w:val="yellow"/>
                <w:shd w:val="clear" w:color="auto" w:fill="FFF1A8"/>
              </w:rPr>
              <w:t>腾讯云</w:t>
            </w:r>
          </w:p>
          <w:p w:rsidR="007C1A32" w:rsidRDefault="007C1A32">
            <w:pPr>
              <w:rPr>
                <w:rFonts w:ascii="Arial" w:eastAsia="SimSun" w:hAnsi="Arial" w:cs="Arial"/>
                <w:b/>
                <w:color w:val="555555"/>
                <w:sz w:val="21"/>
                <w:szCs w:val="21"/>
                <w:highlight w:val="yellow"/>
                <w:shd w:val="clear" w:color="auto" w:fill="FFF1A8"/>
                <w:lang w:val="en-MY"/>
              </w:rPr>
            </w:pPr>
          </w:p>
        </w:tc>
      </w:tr>
    </w:tbl>
    <w:p w:rsidR="007C1A32" w:rsidRDefault="007C1A32">
      <w:pPr>
        <w:rPr>
          <w:rFonts w:ascii="Arial" w:eastAsia="SimSun" w:hAnsi="Arial" w:cs="Arial"/>
          <w:b/>
          <w:color w:val="555555"/>
          <w:sz w:val="21"/>
          <w:szCs w:val="21"/>
          <w:shd w:val="clear" w:color="auto" w:fill="FFF1A8"/>
          <w:lang w:val="en-MY"/>
        </w:rPr>
      </w:pPr>
    </w:p>
    <w:p w:rsidR="007C1A32" w:rsidRDefault="007C1A32">
      <w:pPr>
        <w:rPr>
          <w:rFonts w:ascii="Arial" w:eastAsia="SimSun" w:hAnsi="Arial" w:cs="Arial"/>
          <w:b/>
          <w:color w:val="555555"/>
          <w:sz w:val="21"/>
          <w:szCs w:val="21"/>
          <w:shd w:val="clear" w:color="auto" w:fill="FFF1A8"/>
          <w:lang w:val="en-MY"/>
        </w:rPr>
      </w:pPr>
    </w:p>
    <w:p w:rsidR="007C1A32" w:rsidRDefault="007C1A32">
      <w:pPr>
        <w:rPr>
          <w:rFonts w:ascii="Arial" w:eastAsia="SimSun" w:hAnsi="Arial" w:cs="Arial"/>
          <w:b/>
          <w:color w:val="555555"/>
          <w:sz w:val="21"/>
          <w:szCs w:val="21"/>
          <w:shd w:val="clear" w:color="auto" w:fill="FFF1A8"/>
          <w:lang w:val="en-MY"/>
        </w:rPr>
      </w:pPr>
    </w:p>
    <w:p w:rsidR="007C1A32" w:rsidRDefault="007C1A32">
      <w:pPr>
        <w:rPr>
          <w:rFonts w:ascii="Arial" w:eastAsia="SimSun" w:hAnsi="Arial" w:cs="Arial"/>
          <w:b/>
          <w:color w:val="555555"/>
          <w:sz w:val="21"/>
          <w:szCs w:val="21"/>
          <w:shd w:val="clear" w:color="auto" w:fill="FFF1A8"/>
          <w:lang w:val="en-MY"/>
        </w:rPr>
      </w:pPr>
    </w:p>
    <w:tbl>
      <w:tblPr>
        <w:tblStyle w:val="TableGrid"/>
        <w:tblW w:w="9600" w:type="dxa"/>
        <w:tblLayout w:type="fixed"/>
        <w:tblLook w:val="04A0"/>
      </w:tblPr>
      <w:tblGrid>
        <w:gridCol w:w="9600"/>
      </w:tblGrid>
      <w:tr w:rsidR="007C1A32" w:rsidTr="003358A5">
        <w:trPr>
          <w:trHeight w:val="80"/>
        </w:trPr>
        <w:tc>
          <w:tcPr>
            <w:tcW w:w="9600" w:type="dxa"/>
          </w:tcPr>
          <w:p w:rsidR="007C1A32" w:rsidRDefault="007A618C">
            <w:pPr>
              <w:ind w:left="90"/>
              <w:rPr>
                <w:b/>
                <w:sz w:val="15"/>
                <w:szCs w:val="15"/>
              </w:rPr>
            </w:pPr>
            <w:r>
              <w:rPr>
                <w:rFonts w:hint="eastAsia"/>
                <w:b/>
                <w:sz w:val="15"/>
                <w:szCs w:val="15"/>
              </w:rPr>
              <w:lastRenderedPageBreak/>
              <w:t>风险因素</w:t>
            </w:r>
          </w:p>
          <w:p w:rsidR="007C1A32" w:rsidRDefault="007A618C">
            <w:pPr>
              <w:ind w:left="90"/>
              <w:rPr>
                <w:sz w:val="15"/>
                <w:szCs w:val="15"/>
              </w:rPr>
            </w:pPr>
            <w:r>
              <w:rPr>
                <w:rFonts w:hint="eastAsia"/>
                <w:sz w:val="15"/>
                <w:szCs w:val="15"/>
              </w:rPr>
              <w:t>这部分风险是基于风险发生的可能性与风险的影响相结合的评估。没有保证或保证不同风险的重要性不会改变或其他风险不会增加。</w:t>
            </w:r>
          </w:p>
          <w:p w:rsidR="007C1A32" w:rsidRDefault="007A618C">
            <w:pPr>
              <w:ind w:left="90"/>
              <w:rPr>
                <w:sz w:val="15"/>
                <w:szCs w:val="15"/>
              </w:rPr>
            </w:pPr>
            <w:r>
              <w:rPr>
                <w:rFonts w:hint="eastAsia"/>
                <w:sz w:val="15"/>
                <w:szCs w:val="15"/>
              </w:rPr>
              <w:t>在投资之前，您应该考虑或寻求第三方咨询该投资是否是一个适合您作为投资人的投资。与此投资相关的风险以及其他更多的是在管理人和该基金的控制范围以外。</w:t>
            </w:r>
          </w:p>
          <w:p w:rsidR="007C1A32" w:rsidRDefault="007A618C">
            <w:pPr>
              <w:ind w:left="90"/>
              <w:rPr>
                <w:b/>
                <w:sz w:val="15"/>
                <w:szCs w:val="15"/>
              </w:rPr>
            </w:pPr>
            <w:r>
              <w:rPr>
                <w:rFonts w:hint="eastAsia"/>
                <w:b/>
                <w:sz w:val="15"/>
                <w:szCs w:val="15"/>
              </w:rPr>
              <w:t>政治风险</w:t>
            </w:r>
          </w:p>
          <w:p w:rsidR="007C1A32" w:rsidRDefault="007A618C">
            <w:pPr>
              <w:ind w:left="90"/>
              <w:rPr>
                <w:sz w:val="15"/>
                <w:szCs w:val="15"/>
              </w:rPr>
            </w:pPr>
            <w:r>
              <w:rPr>
                <w:rFonts w:hint="eastAsia"/>
                <w:sz w:val="15"/>
                <w:szCs w:val="15"/>
              </w:rPr>
              <w:t>该基金的表现可能受到经济和市场条件的变化、政治发展、军事冲突和内乱等不确定因素，政府政策的变化对资本转移的限制以及法律、监管和税收要求方面的影响。</w:t>
            </w:r>
          </w:p>
          <w:p w:rsidR="007C1A32" w:rsidRDefault="007A618C">
            <w:pPr>
              <w:ind w:left="90"/>
              <w:rPr>
                <w:b/>
                <w:sz w:val="15"/>
                <w:szCs w:val="15"/>
              </w:rPr>
            </w:pPr>
            <w:r>
              <w:rPr>
                <w:rFonts w:hint="eastAsia"/>
                <w:b/>
                <w:sz w:val="15"/>
                <w:szCs w:val="15"/>
              </w:rPr>
              <w:t>货币风险</w:t>
            </w:r>
          </w:p>
          <w:p w:rsidR="007C1A32" w:rsidRDefault="007A618C">
            <w:pPr>
              <w:ind w:left="90"/>
              <w:rPr>
                <w:sz w:val="15"/>
                <w:szCs w:val="15"/>
              </w:rPr>
            </w:pPr>
            <w:r>
              <w:rPr>
                <w:rFonts w:hint="eastAsia"/>
                <w:sz w:val="15"/>
                <w:szCs w:val="15"/>
              </w:rPr>
              <w:t>该基金可以投资以该基金基础货币以外的货币计价的资产。因此，由于不同货币的汇率波动，股东投资的价值可能受到有利或不利的影响，因为基金基础货币与指定货币之间的汇率变动可能导致以所确定的货币表示的股份价值。</w:t>
            </w:r>
          </w:p>
          <w:p w:rsidR="007C1A32" w:rsidRDefault="007A618C">
            <w:pPr>
              <w:ind w:left="90"/>
              <w:rPr>
                <w:b/>
                <w:sz w:val="15"/>
                <w:szCs w:val="15"/>
              </w:rPr>
            </w:pPr>
            <w:r>
              <w:rPr>
                <w:rFonts w:hint="eastAsia"/>
                <w:b/>
                <w:sz w:val="15"/>
                <w:szCs w:val="15"/>
              </w:rPr>
              <w:t>大幅买回的可能产生的影响</w:t>
            </w:r>
          </w:p>
          <w:p w:rsidR="007C1A32" w:rsidRDefault="007A618C">
            <w:pPr>
              <w:ind w:left="90"/>
              <w:rPr>
                <w:sz w:val="15"/>
                <w:szCs w:val="15"/>
              </w:rPr>
            </w:pPr>
            <w:r>
              <w:rPr>
                <w:rFonts w:hint="eastAsia"/>
                <w:sz w:val="15"/>
                <w:szCs w:val="15"/>
              </w:rPr>
              <w:t>参与股份的大幅买回可能要求该基金更快速地清算其头寸以筹集资金买回所需的现金。某些证券流动性不足可能导致该基金很难以有利的条件清算头寸，这可能导致基金资产净值的损失或减少。当该基金决定为此目的而清算证券投资组合时，该基金获准借入与买回股份有关的所需款项。该基金也被授权将抵押品作为抵押品用于偿还这些贷款，在这种情况下，持续的股东将承担基金资产价值随后出现下跌的风险。</w:t>
            </w:r>
          </w:p>
          <w:p w:rsidR="003358A5" w:rsidRDefault="003358A5" w:rsidP="003358A5">
            <w:pPr>
              <w:pStyle w:val="PlainText"/>
            </w:pPr>
          </w:p>
          <w:p w:rsidR="003358A5" w:rsidRPr="00461AB5" w:rsidRDefault="003358A5" w:rsidP="003358A5">
            <w:pPr>
              <w:pStyle w:val="PlainText"/>
              <w:rPr>
                <w:b/>
              </w:rPr>
            </w:pPr>
            <w:r>
              <w:rPr>
                <w:b/>
              </w:rPr>
              <w:t>RISKS FACTORS</w:t>
            </w:r>
          </w:p>
          <w:p w:rsidR="003358A5" w:rsidRDefault="003358A5" w:rsidP="003358A5">
            <w:pPr>
              <w:pStyle w:val="PlainText"/>
            </w:pPr>
            <w:r>
              <w:t>This section of risks has been based in an assessment of a combination of the probability of the risk occurring and the impact of the risk if it did occur.  There is no guarantee of assurance that the importance of different risks will not change or that other risks will not arise.</w:t>
            </w:r>
          </w:p>
          <w:p w:rsidR="003358A5" w:rsidRDefault="003358A5" w:rsidP="003358A5">
            <w:pPr>
              <w:pStyle w:val="PlainText"/>
            </w:pPr>
            <w:r>
              <w:t>Before investing, you should consider or seek third party advice whether this investment is a suitable investment for you as an investor.  There are risks associated with this investment and many of which are outside of the control of the Manager and the fund.</w:t>
            </w:r>
          </w:p>
          <w:p w:rsidR="003358A5" w:rsidRDefault="003358A5" w:rsidP="003358A5">
            <w:pPr>
              <w:pStyle w:val="PlainText"/>
            </w:pPr>
          </w:p>
          <w:p w:rsidR="003358A5" w:rsidRDefault="003358A5" w:rsidP="003358A5">
            <w:pPr>
              <w:pStyle w:val="PlainText"/>
              <w:rPr>
                <w:b/>
              </w:rPr>
            </w:pPr>
            <w:r>
              <w:rPr>
                <w:b/>
              </w:rPr>
              <w:t>POLITICAL RISKS</w:t>
            </w:r>
          </w:p>
          <w:p w:rsidR="003358A5" w:rsidRDefault="003358A5" w:rsidP="003358A5">
            <w:pPr>
              <w:pStyle w:val="PlainText"/>
            </w:pPr>
            <w:r w:rsidRPr="006C57E1">
              <w:t>The performance of a Fund may be affected by changes in economic and market conditions, uncertainties such as political developments, military conflict and civil unrest, changes in government policies, the imposition of restrictions on the transfer of capital and in legal, regulatory and tax requirements.</w:t>
            </w:r>
          </w:p>
          <w:p w:rsidR="003358A5" w:rsidRDefault="003358A5" w:rsidP="003358A5">
            <w:pPr>
              <w:pStyle w:val="PlainText"/>
            </w:pPr>
          </w:p>
          <w:p w:rsidR="003358A5" w:rsidRDefault="003358A5" w:rsidP="003358A5">
            <w:pPr>
              <w:pStyle w:val="PlainText"/>
              <w:rPr>
                <w:b/>
              </w:rPr>
            </w:pPr>
            <w:r>
              <w:rPr>
                <w:b/>
              </w:rPr>
              <w:t>CURRENCY RISKS</w:t>
            </w:r>
          </w:p>
          <w:p w:rsidR="003358A5" w:rsidRDefault="003358A5" w:rsidP="003358A5">
            <w:pPr>
              <w:pStyle w:val="PlainText"/>
            </w:pPr>
            <w:r>
              <w:t>A Fund may invest in assets that are denominated in a currency other than the Fun’s Base Currency.  Therefore, due to exchange rate fluctuation in different currencies, the value of Shareholder’s investment may be affected favorably or unfavorably, as changes in the exchange rate between the Base Currency of a Fund and the designated currency may lead to a depreciation of the value of such Shares as expressed in the designated currency.</w:t>
            </w:r>
          </w:p>
          <w:p w:rsidR="003358A5" w:rsidRDefault="003358A5" w:rsidP="003358A5">
            <w:pPr>
              <w:pStyle w:val="PlainText"/>
            </w:pPr>
          </w:p>
          <w:p w:rsidR="003358A5" w:rsidRDefault="003358A5" w:rsidP="003358A5">
            <w:pPr>
              <w:pStyle w:val="PlainText"/>
              <w:rPr>
                <w:b/>
              </w:rPr>
            </w:pPr>
            <w:r>
              <w:rPr>
                <w:b/>
              </w:rPr>
              <w:t>POSSIBLE EFFECT OF SUBSTANTIAL REDEMPTIONS</w:t>
            </w:r>
          </w:p>
          <w:p w:rsidR="003358A5" w:rsidRDefault="003358A5" w:rsidP="003358A5">
            <w:pPr>
              <w:pStyle w:val="PlainText"/>
            </w:pPr>
            <w:r>
              <w:t xml:space="preserve">Substantial redemption of Participating Shares could require the Fund to liquidate its positions more rapidly than otherwise desired in order to raise the cash necessary to find the redemptions.  Liquidity in certain securities could make it difficult for the Fund to liquidate positions on favorable terms, which could result in losses or a decrease in the Net Asset of the Fund.  The Fund is permitted to borrow cash necessary to make payments in condition with redemption of Shares when it determines that it would not be advisable to liquidate portfolio assets for that purpose.  The Fund is also authorized to pledge portfolio assets as collateral security for the repayment of such loans.  In these circumstances, the continuing Shareholders will bear the risk of any subsequent decline in the value of the Fund’s assets. </w:t>
            </w:r>
          </w:p>
          <w:p w:rsidR="0014693D" w:rsidRDefault="0014693D" w:rsidP="003358A5">
            <w:pPr>
              <w:pStyle w:val="PlainText"/>
            </w:pPr>
          </w:p>
          <w:p w:rsidR="0014693D" w:rsidRPr="003358A5" w:rsidRDefault="0014693D" w:rsidP="003358A5">
            <w:pPr>
              <w:pStyle w:val="PlainText"/>
            </w:pPr>
          </w:p>
        </w:tc>
      </w:tr>
    </w:tbl>
    <w:p w:rsidR="007C1A32" w:rsidRDefault="007C1A32" w:rsidP="003358A5">
      <w:pPr>
        <w:rPr>
          <w:rFonts w:ascii="Arial" w:eastAsia="SimSun" w:hAnsi="Arial" w:cs="Arial"/>
          <w:b/>
          <w:color w:val="555555"/>
          <w:sz w:val="21"/>
          <w:szCs w:val="21"/>
          <w:shd w:val="clear" w:color="auto" w:fill="FFF1A8"/>
          <w:lang w:val="en-MY"/>
        </w:rPr>
      </w:pPr>
    </w:p>
    <w:sectPr w:rsidR="007C1A32" w:rsidSect="007C1A32">
      <w:pgSz w:w="11906" w:h="16838"/>
      <w:pgMar w:top="840" w:right="906" w:bottom="1440" w:left="10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charset w:val="00"/>
    <w:family w:val="auto"/>
    <w:pitch w:val="default"/>
    <w:sig w:usb0="00000001" w:usb1="4000207B" w:usb2="00000000" w:usb3="00000000" w:csb0="2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CCE26C1"/>
    <w:rsid w:val="00054316"/>
    <w:rsid w:val="0014693D"/>
    <w:rsid w:val="001D3A09"/>
    <w:rsid w:val="00200895"/>
    <w:rsid w:val="003358A5"/>
    <w:rsid w:val="0042041A"/>
    <w:rsid w:val="007A618C"/>
    <w:rsid w:val="007A724C"/>
    <w:rsid w:val="007C1A32"/>
    <w:rsid w:val="007E3D11"/>
    <w:rsid w:val="00CB49CF"/>
    <w:rsid w:val="171D1AD7"/>
    <w:rsid w:val="244A23EF"/>
    <w:rsid w:val="2AE01BD1"/>
    <w:rsid w:val="42644AA2"/>
    <w:rsid w:val="45AA0032"/>
    <w:rsid w:val="4CCE26C1"/>
    <w:rsid w:val="53D007E6"/>
    <w:rsid w:val="57540EE2"/>
    <w:rsid w:val="5C9E2782"/>
    <w:rsid w:val="7BFC0726"/>
    <w:rsid w:val="7CD723EE"/>
    <w:rsid w:val="7DDD57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A32"/>
    <w:rPr>
      <w:rFonts w:asciiTheme="minorHAnsi" w:eastAsiaTheme="minorEastAsia" w:hAnsiTheme="minorHAnsi" w:cstheme="minorBidi"/>
      <w:lang w:eastAsia="zh-CN"/>
    </w:rPr>
  </w:style>
  <w:style w:type="paragraph" w:styleId="Heading1">
    <w:name w:val="heading 1"/>
    <w:next w:val="Normal"/>
    <w:qFormat/>
    <w:rsid w:val="007C1A32"/>
    <w:pPr>
      <w:spacing w:beforeAutospacing="1" w:after="0" w:afterAutospacing="1"/>
      <w:outlineLvl w:val="0"/>
    </w:pPr>
    <w:rPr>
      <w:rFonts w:ascii="SimSun" w:hAnsi="SimSu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7C1A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b">
    <w:name w:val="wb"/>
    <w:qFormat/>
    <w:rsid w:val="007C1A32"/>
    <w:rPr>
      <w:sz w:val="18"/>
      <w:szCs w:val="18"/>
    </w:rPr>
  </w:style>
  <w:style w:type="character" w:customStyle="1" w:styleId="wh">
    <w:name w:val="wh"/>
    <w:qFormat/>
    <w:rsid w:val="007C1A32"/>
    <w:rPr>
      <w:rFonts w:ascii="Courier New" w:hAnsi="Courier New" w:cs="Courier New"/>
      <w:color w:val="DDDD00"/>
    </w:rPr>
  </w:style>
  <w:style w:type="paragraph" w:styleId="BalloonText">
    <w:name w:val="Balloon Text"/>
    <w:basedOn w:val="Normal"/>
    <w:link w:val="BalloonTextChar"/>
    <w:rsid w:val="007A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618C"/>
    <w:rPr>
      <w:rFonts w:ascii="Tahoma" w:eastAsiaTheme="minorEastAsia" w:hAnsi="Tahoma" w:cs="Tahoma"/>
      <w:sz w:val="16"/>
      <w:szCs w:val="16"/>
      <w:lang w:eastAsia="zh-CN"/>
    </w:rPr>
  </w:style>
  <w:style w:type="paragraph" w:styleId="PlainText">
    <w:name w:val="Plain Text"/>
    <w:basedOn w:val="Normal"/>
    <w:link w:val="PlainTextChar"/>
    <w:rsid w:val="003358A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3358A5"/>
    <w:rPr>
      <w:rFonts w:ascii="Consolas" w:eastAsiaTheme="minorEastAsia" w:hAnsi="Consolas" w:cs="Consolas"/>
      <w:sz w:val="21"/>
      <w:szCs w:val="21"/>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714</Words>
  <Characters>4072</Characters>
  <Application>Microsoft Office Word</Application>
  <DocSecurity>0</DocSecurity>
  <Lines>33</Lines>
  <Paragraphs>9</Paragraphs>
  <ScaleCrop>false</ScaleCrop>
  <Company>Grizli777</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Computer8</cp:lastModifiedBy>
  <cp:revision>8</cp:revision>
  <dcterms:created xsi:type="dcterms:W3CDTF">2018-03-26T06:17:00Z</dcterms:created>
  <dcterms:modified xsi:type="dcterms:W3CDTF">2018-03-28T02:57:00Z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